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282" w:rsidRDefault="00F909DF">
      <w:pPr>
        <w:spacing w:line="600" w:lineRule="exact"/>
        <w:jc w:val="center"/>
        <w:rPr>
          <w:rFonts w:ascii="宋体" w:eastAsia="宋体" w:hAnsi="宋体" w:cs="宋体"/>
          <w:b/>
          <w:bCs/>
          <w:sz w:val="44"/>
          <w:szCs w:val="36"/>
        </w:rPr>
      </w:pPr>
      <w:r>
        <w:rPr>
          <w:rFonts w:ascii="宋体" w:hAnsi="宋体" w:cs="宋体" w:hint="eastAsia"/>
          <w:b/>
          <w:bCs/>
          <w:sz w:val="44"/>
          <w:szCs w:val="36"/>
        </w:rPr>
        <w:t>萍乡市湘东中学</w:t>
      </w:r>
      <w:r>
        <w:rPr>
          <w:rFonts w:ascii="宋体" w:eastAsia="宋体" w:hAnsi="宋体" w:cs="宋体" w:hint="eastAsia"/>
          <w:b/>
          <w:bCs/>
          <w:sz w:val="44"/>
          <w:szCs w:val="36"/>
        </w:rPr>
        <w:t>2020年度部门决算</w:t>
      </w:r>
    </w:p>
    <w:p w:rsidR="00E41282" w:rsidRDefault="00E41282">
      <w:pPr>
        <w:spacing w:line="600" w:lineRule="exact"/>
        <w:jc w:val="center"/>
        <w:rPr>
          <w:rFonts w:ascii="黑体" w:eastAsia="黑体"/>
          <w:sz w:val="44"/>
          <w:szCs w:val="36"/>
        </w:rPr>
      </w:pPr>
    </w:p>
    <w:p w:rsidR="00E41282" w:rsidRDefault="00F909DF">
      <w:pPr>
        <w:spacing w:line="600" w:lineRule="exact"/>
        <w:jc w:val="center"/>
        <w:rPr>
          <w:rFonts w:ascii="宋体" w:eastAsia="宋体" w:hAnsi="宋体" w:cs="宋体"/>
          <w:b/>
          <w:bCs/>
          <w:sz w:val="40"/>
          <w:szCs w:val="36"/>
        </w:rPr>
      </w:pPr>
      <w:r>
        <w:rPr>
          <w:rFonts w:ascii="宋体" w:eastAsia="宋体" w:hAnsi="宋体" w:cs="宋体" w:hint="eastAsia"/>
          <w:b/>
          <w:bCs/>
          <w:sz w:val="40"/>
          <w:szCs w:val="36"/>
        </w:rPr>
        <w:t>目    录</w:t>
      </w:r>
    </w:p>
    <w:p w:rsidR="00E41282" w:rsidRDefault="00E41282">
      <w:pPr>
        <w:widowControl/>
        <w:spacing w:line="600" w:lineRule="exact"/>
        <w:ind w:firstLine="640"/>
        <w:jc w:val="left"/>
        <w:rPr>
          <w:rFonts w:ascii="仿宋_GB2312" w:eastAsia="仿宋_GB2312"/>
          <w:sz w:val="32"/>
          <w:szCs w:val="30"/>
        </w:rPr>
      </w:pPr>
    </w:p>
    <w:p w:rsidR="00E41282" w:rsidRDefault="00F909DF" w:rsidP="004B1FA0">
      <w:pPr>
        <w:widowControl/>
        <w:spacing w:line="600" w:lineRule="exact"/>
        <w:ind w:firstLineChars="399" w:firstLine="1282"/>
        <w:jc w:val="left"/>
        <w:rPr>
          <w:rFonts w:ascii="黑体" w:eastAsia="黑体" w:hAnsi="黑体"/>
          <w:b/>
          <w:sz w:val="32"/>
          <w:szCs w:val="32"/>
        </w:rPr>
      </w:pPr>
      <w:r>
        <w:rPr>
          <w:rFonts w:ascii="黑体" w:eastAsia="黑体" w:hAnsi="黑体" w:hint="eastAsia"/>
          <w:b/>
          <w:sz w:val="32"/>
          <w:szCs w:val="32"/>
        </w:rPr>
        <w:t xml:space="preserve">第一部分  </w:t>
      </w:r>
      <w:r>
        <w:rPr>
          <w:rFonts w:ascii="黑体" w:eastAsia="黑体" w:hAnsi="黑体" w:hint="eastAsia"/>
          <w:sz w:val="32"/>
          <w:szCs w:val="32"/>
        </w:rPr>
        <w:t>部门</w:t>
      </w:r>
      <w:r>
        <w:rPr>
          <w:rFonts w:ascii="黑体" w:eastAsia="黑体" w:hAnsi="黑体" w:hint="eastAsia"/>
          <w:b/>
          <w:sz w:val="32"/>
          <w:szCs w:val="32"/>
        </w:rPr>
        <w:t>概况</w:t>
      </w:r>
    </w:p>
    <w:p w:rsidR="00E41282" w:rsidRDefault="00F909DF" w:rsidP="004B1FA0">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t>一、部门主要职责</w:t>
      </w:r>
    </w:p>
    <w:p w:rsidR="00E41282" w:rsidRDefault="00F909DF">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二、部门基本情况</w:t>
      </w:r>
    </w:p>
    <w:p w:rsidR="00E41282" w:rsidRDefault="00F909DF" w:rsidP="004B1FA0">
      <w:pPr>
        <w:widowControl/>
        <w:spacing w:line="600" w:lineRule="exact"/>
        <w:ind w:firstLineChars="350" w:firstLine="1120"/>
        <w:jc w:val="left"/>
        <w:rPr>
          <w:rFonts w:ascii="黑体" w:eastAsia="黑体" w:hAnsi="黑体"/>
          <w:sz w:val="32"/>
          <w:szCs w:val="32"/>
        </w:rPr>
      </w:pPr>
      <w:r>
        <w:rPr>
          <w:rFonts w:ascii="黑体" w:eastAsia="黑体" w:hAnsi="黑体" w:hint="eastAsia"/>
          <w:sz w:val="32"/>
          <w:szCs w:val="32"/>
        </w:rPr>
        <w:t>第二部分  2020年度部门决算表</w:t>
      </w:r>
    </w:p>
    <w:p w:rsidR="00E41282" w:rsidRDefault="00F909DF">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t>一、收入支出决算总表</w:t>
      </w:r>
    </w:p>
    <w:p w:rsidR="00E41282" w:rsidRDefault="00F909DF">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t>二、收入决算表</w:t>
      </w:r>
    </w:p>
    <w:p w:rsidR="00E41282" w:rsidRDefault="00F909DF">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三、支出决算表</w:t>
      </w:r>
    </w:p>
    <w:p w:rsidR="00E41282" w:rsidRDefault="00F909DF">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四、财政拨款收入支出决算总表</w:t>
      </w:r>
    </w:p>
    <w:p w:rsidR="00E41282" w:rsidRDefault="00F909DF">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五、一般公共预算财政拨款支出决算表</w:t>
      </w:r>
    </w:p>
    <w:p w:rsidR="00E41282" w:rsidRDefault="00F909DF">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六、一般公共预算财政拨款基本支出决算表</w:t>
      </w:r>
    </w:p>
    <w:p w:rsidR="00E41282" w:rsidRDefault="00F909DF">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七、一般公共预算财政拨款“三公”经费支出决算</w:t>
      </w:r>
    </w:p>
    <w:p w:rsidR="00E41282" w:rsidRDefault="00F909DF">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表</w:t>
      </w:r>
    </w:p>
    <w:p w:rsidR="00E41282" w:rsidRDefault="00F909DF">
      <w:pPr>
        <w:widowControl/>
        <w:numPr>
          <w:ilvl w:val="0"/>
          <w:numId w:val="1"/>
        </w:numPr>
        <w:spacing w:line="600" w:lineRule="exact"/>
        <w:jc w:val="left"/>
        <w:rPr>
          <w:rFonts w:ascii="仿宋" w:eastAsia="仿宋" w:hAnsi="仿宋" w:cs="宋体"/>
          <w:kern w:val="0"/>
          <w:sz w:val="32"/>
          <w:szCs w:val="32"/>
        </w:rPr>
      </w:pPr>
      <w:r>
        <w:rPr>
          <w:rFonts w:ascii="仿宋" w:eastAsia="仿宋" w:hAnsi="仿宋" w:cs="宋体" w:hint="eastAsia"/>
          <w:kern w:val="0"/>
          <w:sz w:val="32"/>
          <w:szCs w:val="32"/>
        </w:rPr>
        <w:t>政府性基金预算财政拨款收入支出决算表</w:t>
      </w:r>
    </w:p>
    <w:p w:rsidR="00E41282" w:rsidRDefault="00F909DF">
      <w:pPr>
        <w:widowControl/>
        <w:numPr>
          <w:ilvl w:val="0"/>
          <w:numId w:val="1"/>
        </w:numPr>
        <w:spacing w:line="600" w:lineRule="exact"/>
        <w:jc w:val="left"/>
        <w:rPr>
          <w:rFonts w:ascii="仿宋" w:eastAsia="仿宋" w:hAnsi="仿宋" w:cs="宋体"/>
          <w:kern w:val="0"/>
          <w:sz w:val="32"/>
          <w:szCs w:val="32"/>
        </w:rPr>
      </w:pPr>
      <w:r>
        <w:rPr>
          <w:rFonts w:ascii="仿宋" w:eastAsia="仿宋" w:hAnsi="仿宋" w:cs="宋体" w:hint="eastAsia"/>
          <w:kern w:val="0"/>
          <w:sz w:val="32"/>
          <w:szCs w:val="32"/>
        </w:rPr>
        <w:t>国有资本经营预算财政拨款支出决算表</w:t>
      </w:r>
    </w:p>
    <w:p w:rsidR="00E41282" w:rsidRDefault="00F909DF" w:rsidP="004B1FA0">
      <w:pPr>
        <w:widowControl/>
        <w:spacing w:line="600" w:lineRule="exact"/>
        <w:ind w:firstLineChars="400" w:firstLine="1280"/>
        <w:jc w:val="left"/>
        <w:rPr>
          <w:rFonts w:ascii="仿宋" w:eastAsia="仿宋" w:hAnsi="仿宋" w:cs="宋体"/>
          <w:kern w:val="0"/>
          <w:sz w:val="32"/>
          <w:szCs w:val="32"/>
        </w:rPr>
      </w:pPr>
      <w:r>
        <w:rPr>
          <w:rFonts w:ascii="仿宋" w:eastAsia="仿宋" w:hAnsi="仿宋" w:cs="宋体" w:hint="eastAsia"/>
          <w:kern w:val="0"/>
          <w:sz w:val="32"/>
          <w:szCs w:val="32"/>
        </w:rPr>
        <w:t>十、国有资产占用情况表</w:t>
      </w:r>
    </w:p>
    <w:p w:rsidR="00E41282" w:rsidRDefault="00F909DF" w:rsidP="004B1FA0">
      <w:pPr>
        <w:widowControl/>
        <w:spacing w:line="600" w:lineRule="exact"/>
        <w:ind w:firstLineChars="350" w:firstLine="1120"/>
        <w:jc w:val="left"/>
        <w:rPr>
          <w:rFonts w:ascii="黑体" w:eastAsia="黑体" w:hAnsi="黑体"/>
          <w:sz w:val="32"/>
          <w:szCs w:val="32"/>
        </w:rPr>
      </w:pPr>
      <w:r>
        <w:rPr>
          <w:rFonts w:ascii="黑体" w:eastAsia="黑体" w:hAnsi="黑体" w:hint="eastAsia"/>
          <w:sz w:val="32"/>
          <w:szCs w:val="32"/>
        </w:rPr>
        <w:t>第三部分  2020年度部门决算情况说明</w:t>
      </w:r>
    </w:p>
    <w:p w:rsidR="00E41282" w:rsidRDefault="00F909DF">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t>一、收入决算情况说明</w:t>
      </w:r>
    </w:p>
    <w:p w:rsidR="00E41282" w:rsidRDefault="00F909DF">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t>二、支出决算情况说明</w:t>
      </w:r>
    </w:p>
    <w:p w:rsidR="00E41282" w:rsidRDefault="00F909DF">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t>三、财政拨款收入支出决算总体情况说明</w:t>
      </w:r>
    </w:p>
    <w:p w:rsidR="00E41282" w:rsidRDefault="00F909DF">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lastRenderedPageBreak/>
        <w:t>四、一般公共预算财政拨款支出决算情况说明</w:t>
      </w:r>
    </w:p>
    <w:p w:rsidR="00E41282" w:rsidRDefault="00F909DF">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t>五、一般公共预算财政拨款基本支出决算情况说明</w:t>
      </w:r>
    </w:p>
    <w:p w:rsidR="00E41282" w:rsidRDefault="00F909DF">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t>六、一般公共预算财政拨款“三公”经费支出决算</w:t>
      </w:r>
    </w:p>
    <w:p w:rsidR="00E41282" w:rsidRDefault="00F909DF">
      <w:pPr>
        <w:widowControl/>
        <w:spacing w:line="600" w:lineRule="exact"/>
        <w:jc w:val="left"/>
        <w:rPr>
          <w:rFonts w:ascii="仿宋" w:eastAsia="仿宋" w:hAnsi="仿宋"/>
          <w:sz w:val="32"/>
          <w:szCs w:val="30"/>
        </w:rPr>
      </w:pPr>
      <w:r>
        <w:rPr>
          <w:rFonts w:ascii="仿宋" w:eastAsia="仿宋" w:hAnsi="仿宋" w:hint="eastAsia"/>
          <w:sz w:val="32"/>
          <w:szCs w:val="30"/>
        </w:rPr>
        <w:t xml:space="preserve">    情况说明</w:t>
      </w:r>
    </w:p>
    <w:p w:rsidR="00E41282" w:rsidRDefault="00F909DF">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t>七、政府性基金预算收入支出决算情况</w:t>
      </w:r>
    </w:p>
    <w:p w:rsidR="00E41282" w:rsidRDefault="00F909DF">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t>八、机关运行经费支出情况说明</w:t>
      </w:r>
    </w:p>
    <w:p w:rsidR="00E41282" w:rsidRDefault="00F909DF" w:rsidP="004B1FA0">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t>九、政府采购支出情况说明</w:t>
      </w:r>
    </w:p>
    <w:p w:rsidR="00E41282" w:rsidRDefault="00F909DF" w:rsidP="004B1FA0">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t>十、国有资本经营预算财政拨款支出说明</w:t>
      </w:r>
    </w:p>
    <w:p w:rsidR="00E41282" w:rsidRDefault="00F909DF">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t>十一、国有资产占用情况说明</w:t>
      </w:r>
    </w:p>
    <w:p w:rsidR="00E41282" w:rsidRDefault="00F909DF" w:rsidP="004B1FA0">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t>十二、预算绩效情况说明</w:t>
      </w:r>
    </w:p>
    <w:p w:rsidR="00E41282" w:rsidRDefault="00F909DF" w:rsidP="004B1FA0">
      <w:pPr>
        <w:widowControl/>
        <w:spacing w:line="600" w:lineRule="exact"/>
        <w:ind w:firstLineChars="400" w:firstLine="1280"/>
        <w:jc w:val="left"/>
        <w:rPr>
          <w:rFonts w:ascii="黑体" w:eastAsia="黑体" w:hAnsi="黑体"/>
          <w:sz w:val="32"/>
          <w:szCs w:val="32"/>
        </w:rPr>
      </w:pPr>
      <w:r>
        <w:rPr>
          <w:rFonts w:ascii="黑体" w:eastAsia="黑体" w:hAnsi="黑体" w:hint="eastAsia"/>
          <w:sz w:val="32"/>
          <w:szCs w:val="32"/>
        </w:rPr>
        <w:t>第四部分  名词解释</w:t>
      </w:r>
    </w:p>
    <w:p w:rsidR="00E41282" w:rsidRDefault="00F909DF" w:rsidP="004B1FA0">
      <w:pPr>
        <w:widowControl/>
        <w:spacing w:line="600" w:lineRule="exact"/>
        <w:ind w:firstLineChars="400" w:firstLine="1280"/>
        <w:jc w:val="left"/>
        <w:rPr>
          <w:rFonts w:ascii="黑体" w:eastAsia="黑体" w:hAnsi="黑体"/>
          <w:sz w:val="32"/>
          <w:szCs w:val="32"/>
        </w:rPr>
      </w:pPr>
      <w:r>
        <w:rPr>
          <w:rFonts w:ascii="黑体" w:eastAsia="黑体" w:hAnsi="黑体" w:hint="eastAsia"/>
          <w:sz w:val="32"/>
          <w:szCs w:val="32"/>
        </w:rPr>
        <w:t>第五部分  附件</w:t>
      </w:r>
    </w:p>
    <w:p w:rsidR="00E41282" w:rsidRDefault="00F909DF">
      <w:pPr>
        <w:pStyle w:val="a3"/>
        <w:widowControl/>
        <w:spacing w:beforeAutospacing="0" w:afterAutospacing="0" w:line="600" w:lineRule="atLeast"/>
        <w:ind w:firstLine="645"/>
        <w:rPr>
          <w:rFonts w:ascii="微软雅黑" w:eastAsia="微软雅黑" w:hAnsi="微软雅黑" w:cs="微软雅黑"/>
          <w:color w:val="333333"/>
          <w:sz w:val="21"/>
          <w:szCs w:val="21"/>
        </w:rPr>
      </w:pPr>
      <w:r>
        <w:rPr>
          <w:rFonts w:ascii="仿宋" w:eastAsia="仿宋" w:hAnsi="仿宋" w:cs="仿宋"/>
          <w:color w:val="333333"/>
          <w:sz w:val="31"/>
          <w:szCs w:val="31"/>
        </w:rPr>
        <w:t> </w:t>
      </w:r>
    </w:p>
    <w:p w:rsidR="00E41282" w:rsidRDefault="00F909DF">
      <w:pPr>
        <w:pStyle w:val="a3"/>
        <w:widowControl/>
        <w:spacing w:beforeAutospacing="0" w:afterAutospacing="0" w:line="600" w:lineRule="atLeast"/>
        <w:jc w:val="center"/>
        <w:rPr>
          <w:rFonts w:ascii="微软雅黑" w:eastAsia="微软雅黑" w:hAnsi="微软雅黑" w:cs="微软雅黑"/>
          <w:color w:val="333333"/>
          <w:sz w:val="21"/>
          <w:szCs w:val="21"/>
        </w:rPr>
      </w:pPr>
      <w:r>
        <w:rPr>
          <w:rFonts w:ascii="Times New Roman" w:eastAsia="微软雅黑" w:hAnsi="Times New Roman"/>
          <w:color w:val="333333"/>
          <w:sz w:val="36"/>
          <w:szCs w:val="36"/>
        </w:rPr>
        <w:t> </w:t>
      </w:r>
    </w:p>
    <w:p w:rsidR="00E41282" w:rsidRDefault="00F909DF">
      <w:pPr>
        <w:pStyle w:val="a3"/>
        <w:widowControl/>
        <w:spacing w:beforeAutospacing="0" w:afterAutospacing="0" w:line="600" w:lineRule="atLeast"/>
        <w:jc w:val="center"/>
        <w:rPr>
          <w:rFonts w:ascii="微软雅黑" w:eastAsia="微软雅黑" w:hAnsi="微软雅黑" w:cs="微软雅黑"/>
          <w:color w:val="333333"/>
          <w:sz w:val="21"/>
          <w:szCs w:val="21"/>
        </w:rPr>
      </w:pPr>
      <w:r>
        <w:rPr>
          <w:rFonts w:ascii="Times New Roman" w:eastAsia="微软雅黑" w:hAnsi="Times New Roman"/>
          <w:color w:val="333333"/>
          <w:sz w:val="36"/>
          <w:szCs w:val="36"/>
        </w:rPr>
        <w:t> </w:t>
      </w:r>
    </w:p>
    <w:p w:rsidR="00E41282" w:rsidRDefault="00F909DF">
      <w:pPr>
        <w:pStyle w:val="a3"/>
        <w:widowControl/>
        <w:spacing w:beforeAutospacing="0" w:afterAutospacing="0" w:line="600" w:lineRule="atLeast"/>
        <w:jc w:val="center"/>
        <w:rPr>
          <w:rFonts w:ascii="微软雅黑" w:eastAsia="微软雅黑" w:hAnsi="微软雅黑" w:cs="微软雅黑"/>
          <w:color w:val="333333"/>
          <w:sz w:val="21"/>
          <w:szCs w:val="21"/>
        </w:rPr>
      </w:pPr>
      <w:r>
        <w:rPr>
          <w:rFonts w:ascii="Times New Roman" w:eastAsia="微软雅黑" w:hAnsi="Times New Roman"/>
          <w:color w:val="333333"/>
          <w:sz w:val="36"/>
          <w:szCs w:val="36"/>
        </w:rPr>
        <w:t> </w:t>
      </w:r>
    </w:p>
    <w:p w:rsidR="00E41282" w:rsidRDefault="00F909DF">
      <w:pPr>
        <w:pStyle w:val="a3"/>
        <w:widowControl/>
        <w:spacing w:beforeAutospacing="0" w:afterAutospacing="0" w:line="600" w:lineRule="atLeast"/>
        <w:jc w:val="center"/>
        <w:rPr>
          <w:rFonts w:ascii="微软雅黑" w:eastAsia="微软雅黑" w:hAnsi="微软雅黑" w:cs="微软雅黑"/>
          <w:color w:val="333333"/>
          <w:sz w:val="21"/>
          <w:szCs w:val="21"/>
        </w:rPr>
      </w:pPr>
      <w:r>
        <w:rPr>
          <w:rFonts w:ascii="Times New Roman" w:eastAsia="微软雅黑" w:hAnsi="Times New Roman"/>
          <w:color w:val="333333"/>
          <w:sz w:val="36"/>
          <w:szCs w:val="36"/>
        </w:rPr>
        <w:t> </w:t>
      </w:r>
    </w:p>
    <w:p w:rsidR="00E41282" w:rsidRDefault="00F909DF">
      <w:pPr>
        <w:pStyle w:val="a3"/>
        <w:widowControl/>
        <w:spacing w:beforeAutospacing="0" w:afterAutospacing="0" w:line="600" w:lineRule="atLeast"/>
        <w:jc w:val="center"/>
        <w:rPr>
          <w:rFonts w:ascii="微软雅黑" w:eastAsia="微软雅黑" w:hAnsi="微软雅黑" w:cs="微软雅黑"/>
          <w:color w:val="333333"/>
          <w:sz w:val="21"/>
          <w:szCs w:val="21"/>
        </w:rPr>
      </w:pPr>
      <w:r>
        <w:rPr>
          <w:rFonts w:ascii="Times New Roman" w:eastAsia="微软雅黑" w:hAnsi="Times New Roman"/>
          <w:color w:val="333333"/>
          <w:sz w:val="36"/>
          <w:szCs w:val="36"/>
        </w:rPr>
        <w:t> </w:t>
      </w:r>
    </w:p>
    <w:p w:rsidR="00E41282" w:rsidRDefault="00F909DF">
      <w:pPr>
        <w:pStyle w:val="a3"/>
        <w:widowControl/>
        <w:spacing w:beforeAutospacing="0" w:afterAutospacing="0" w:line="600" w:lineRule="atLeast"/>
        <w:jc w:val="center"/>
        <w:rPr>
          <w:rFonts w:ascii="微软雅黑" w:eastAsia="微软雅黑" w:hAnsi="微软雅黑" w:cs="微软雅黑"/>
          <w:color w:val="333333"/>
          <w:sz w:val="21"/>
          <w:szCs w:val="21"/>
        </w:rPr>
      </w:pPr>
      <w:r>
        <w:rPr>
          <w:rFonts w:ascii="Times New Roman" w:eastAsia="微软雅黑" w:hAnsi="Times New Roman"/>
          <w:color w:val="333333"/>
          <w:sz w:val="36"/>
          <w:szCs w:val="36"/>
        </w:rPr>
        <w:t> </w:t>
      </w:r>
    </w:p>
    <w:p w:rsidR="00E41282" w:rsidRDefault="00F909DF">
      <w:pPr>
        <w:pStyle w:val="a3"/>
        <w:widowControl/>
        <w:spacing w:beforeAutospacing="0" w:afterAutospacing="0" w:line="600" w:lineRule="atLeast"/>
        <w:jc w:val="center"/>
        <w:rPr>
          <w:rFonts w:ascii="微软雅黑" w:eastAsia="微软雅黑" w:hAnsi="微软雅黑" w:cs="微软雅黑"/>
          <w:color w:val="333333"/>
          <w:sz w:val="21"/>
          <w:szCs w:val="21"/>
        </w:rPr>
      </w:pPr>
      <w:r>
        <w:rPr>
          <w:rFonts w:ascii="Times New Roman" w:eastAsia="微软雅黑" w:hAnsi="Times New Roman"/>
          <w:color w:val="333333"/>
          <w:sz w:val="36"/>
          <w:szCs w:val="36"/>
        </w:rPr>
        <w:t> </w:t>
      </w:r>
    </w:p>
    <w:p w:rsidR="00E41282" w:rsidRDefault="00F909DF">
      <w:pPr>
        <w:pStyle w:val="a3"/>
        <w:widowControl/>
        <w:spacing w:beforeAutospacing="0" w:afterAutospacing="0" w:line="600" w:lineRule="atLeast"/>
        <w:jc w:val="center"/>
        <w:rPr>
          <w:rFonts w:ascii="微软雅黑" w:eastAsia="微软雅黑" w:hAnsi="微软雅黑" w:cs="微软雅黑"/>
          <w:color w:val="333333"/>
          <w:sz w:val="21"/>
          <w:szCs w:val="21"/>
        </w:rPr>
      </w:pPr>
      <w:r>
        <w:rPr>
          <w:rFonts w:ascii="Times New Roman" w:eastAsia="微软雅黑" w:hAnsi="Times New Roman"/>
          <w:color w:val="333333"/>
          <w:sz w:val="36"/>
          <w:szCs w:val="36"/>
        </w:rPr>
        <w:t> </w:t>
      </w:r>
    </w:p>
    <w:p w:rsidR="00E41282" w:rsidRDefault="00F909DF">
      <w:pPr>
        <w:pStyle w:val="a3"/>
        <w:widowControl/>
        <w:spacing w:beforeAutospacing="0" w:afterAutospacing="0" w:line="600" w:lineRule="atLeast"/>
        <w:rPr>
          <w:rFonts w:ascii="微软雅黑" w:eastAsia="微软雅黑" w:hAnsi="微软雅黑" w:cs="微软雅黑"/>
          <w:color w:val="333333"/>
          <w:sz w:val="21"/>
          <w:szCs w:val="21"/>
        </w:rPr>
      </w:pPr>
      <w:r>
        <w:rPr>
          <w:rFonts w:ascii="Times New Roman" w:eastAsia="微软雅黑" w:hAnsi="Times New Roman"/>
          <w:color w:val="333333"/>
          <w:sz w:val="36"/>
          <w:szCs w:val="36"/>
        </w:rPr>
        <w:t> </w:t>
      </w:r>
    </w:p>
    <w:p w:rsidR="00E41282" w:rsidRDefault="00F909DF">
      <w:pPr>
        <w:pStyle w:val="a3"/>
        <w:widowControl/>
        <w:spacing w:beforeAutospacing="0" w:afterAutospacing="0" w:line="600" w:lineRule="atLeast"/>
        <w:jc w:val="center"/>
        <w:rPr>
          <w:rFonts w:ascii="微软雅黑" w:eastAsia="微软雅黑" w:hAnsi="微软雅黑" w:cs="微软雅黑"/>
          <w:color w:val="333333"/>
          <w:sz w:val="21"/>
          <w:szCs w:val="21"/>
        </w:rPr>
      </w:pPr>
      <w:r>
        <w:rPr>
          <w:rFonts w:ascii="Times New Roman" w:eastAsia="微软雅黑" w:hAnsi="Times New Roman"/>
          <w:color w:val="333333"/>
          <w:sz w:val="36"/>
          <w:szCs w:val="36"/>
        </w:rPr>
        <w:lastRenderedPageBreak/>
        <w:t> </w:t>
      </w:r>
    </w:p>
    <w:p w:rsidR="00E41282" w:rsidRDefault="00F909DF">
      <w:pPr>
        <w:pStyle w:val="a3"/>
        <w:widowControl/>
        <w:spacing w:beforeAutospacing="0" w:afterAutospacing="0" w:line="585" w:lineRule="atLeast"/>
        <w:jc w:val="center"/>
        <w:rPr>
          <w:rFonts w:ascii="微软雅黑" w:eastAsia="微软雅黑" w:hAnsi="微软雅黑" w:cs="微软雅黑"/>
          <w:color w:val="333333"/>
          <w:sz w:val="21"/>
          <w:szCs w:val="21"/>
        </w:rPr>
      </w:pPr>
      <w:r>
        <w:rPr>
          <w:rStyle w:val="a4"/>
          <w:rFonts w:ascii="宋体" w:eastAsia="宋体" w:hAnsi="宋体" w:cs="宋体" w:hint="eastAsia"/>
          <w:color w:val="333333"/>
          <w:sz w:val="31"/>
          <w:szCs w:val="31"/>
        </w:rPr>
        <w:t>第一部分</w:t>
      </w:r>
      <w:r>
        <w:rPr>
          <w:rFonts w:ascii="宋体" w:eastAsia="宋体" w:hAnsi="宋体" w:cs="宋体" w:hint="eastAsia"/>
          <w:b/>
          <w:color w:val="333333"/>
          <w:sz w:val="31"/>
          <w:szCs w:val="31"/>
        </w:rPr>
        <w:t> </w:t>
      </w:r>
      <w:r>
        <w:rPr>
          <w:rStyle w:val="a4"/>
          <w:rFonts w:ascii="宋体" w:eastAsia="宋体" w:hAnsi="宋体" w:cs="宋体" w:hint="eastAsia"/>
          <w:color w:val="333333"/>
          <w:sz w:val="31"/>
          <w:szCs w:val="31"/>
        </w:rPr>
        <w:t> 部门概况</w:t>
      </w:r>
    </w:p>
    <w:p w:rsidR="00E41282" w:rsidRDefault="00F909DF">
      <w:pPr>
        <w:pStyle w:val="a3"/>
        <w:widowControl/>
        <w:spacing w:beforeAutospacing="0" w:afterAutospacing="0"/>
        <w:ind w:firstLine="630"/>
        <w:jc w:val="center"/>
        <w:rPr>
          <w:rFonts w:ascii="微软雅黑" w:eastAsia="微软雅黑" w:hAnsi="微软雅黑" w:cs="微软雅黑"/>
          <w:color w:val="333333"/>
          <w:sz w:val="21"/>
          <w:szCs w:val="21"/>
        </w:rPr>
      </w:pPr>
      <w:r>
        <w:rPr>
          <w:rFonts w:ascii="Times New Roman" w:eastAsia="微软雅黑" w:hAnsi="Times New Roman"/>
          <w:color w:val="333333"/>
          <w:sz w:val="31"/>
          <w:szCs w:val="31"/>
        </w:rPr>
        <w:t> </w:t>
      </w:r>
    </w:p>
    <w:p w:rsidR="00E41282" w:rsidRDefault="00F909DF">
      <w:pPr>
        <w:pStyle w:val="a3"/>
        <w:widowControl/>
        <w:spacing w:beforeAutospacing="0" w:afterAutospacing="0"/>
        <w:ind w:firstLine="630"/>
        <w:rPr>
          <w:rFonts w:ascii="微软雅黑" w:eastAsia="微软雅黑" w:hAnsi="微软雅黑" w:cs="微软雅黑"/>
          <w:color w:val="333333"/>
          <w:sz w:val="21"/>
          <w:szCs w:val="21"/>
        </w:rPr>
      </w:pPr>
      <w:r>
        <w:rPr>
          <w:rFonts w:ascii="黑体" w:eastAsia="黑体" w:hAnsi="微软雅黑" w:cs="黑体" w:hint="eastAsia"/>
          <w:color w:val="333333"/>
          <w:sz w:val="30"/>
          <w:szCs w:val="30"/>
        </w:rPr>
        <w:t>一、部门主要职能</w:t>
      </w:r>
    </w:p>
    <w:p w:rsidR="00E740FB" w:rsidRDefault="002530A6">
      <w:pPr>
        <w:pStyle w:val="a3"/>
        <w:widowControl/>
        <w:spacing w:beforeAutospacing="0" w:afterAutospacing="0"/>
        <w:ind w:firstLine="630"/>
        <w:rPr>
          <w:rFonts w:ascii="黑体" w:eastAsia="黑体" w:hAnsi="微软雅黑" w:cs="黑体" w:hint="eastAsia"/>
          <w:color w:val="333333"/>
          <w:sz w:val="30"/>
          <w:szCs w:val="30"/>
        </w:rPr>
      </w:pPr>
      <w:r>
        <w:rPr>
          <w:rFonts w:ascii="仿宋_GB2312" w:eastAsia="仿宋_GB2312" w:hAnsi="仿宋_GB2312" w:hint="eastAsia"/>
          <w:sz w:val="32"/>
        </w:rPr>
        <w:t>萍</w:t>
      </w:r>
      <w:r w:rsidR="00E740FB">
        <w:rPr>
          <w:rFonts w:ascii="仿宋_GB2312" w:eastAsia="仿宋_GB2312" w:hAnsi="仿宋_GB2312" w:hint="eastAsia"/>
          <w:sz w:val="32"/>
        </w:rPr>
        <w:t>乡市湘东中学是萍乡市重点高中之一，主要职责是：实施高中学历教育，促进基础教育发展。</w:t>
      </w:r>
      <w:r w:rsidR="004E1487">
        <w:rPr>
          <w:rFonts w:ascii="仿宋_GB2312" w:eastAsia="仿宋_GB2312" w:hAnsi="仿宋_GB2312" w:hint="eastAsia"/>
          <w:sz w:val="32"/>
        </w:rPr>
        <w:t>宣传贯彻执行党和国家的教育方针、教育政策、教育法律和法规，贯彻执行上级教育行政部门的各项规章制度。在政府和上级教育主管部门的领导下，争取资金改善办学条件，为师生的学习和工作</w:t>
      </w:r>
      <w:r w:rsidR="00D64F34">
        <w:rPr>
          <w:rFonts w:ascii="仿宋_GB2312" w:eastAsia="仿宋_GB2312" w:hAnsi="仿宋_GB2312" w:hint="eastAsia"/>
          <w:sz w:val="32"/>
        </w:rPr>
        <w:t>提供优美和谐的环境。</w:t>
      </w:r>
    </w:p>
    <w:p w:rsidR="00E41282" w:rsidRDefault="00F909DF">
      <w:pPr>
        <w:pStyle w:val="a3"/>
        <w:widowControl/>
        <w:spacing w:beforeAutospacing="0" w:afterAutospacing="0"/>
        <w:ind w:firstLine="630"/>
        <w:rPr>
          <w:rFonts w:ascii="微软雅黑" w:eastAsia="微软雅黑" w:hAnsi="微软雅黑" w:cs="微软雅黑"/>
          <w:color w:val="333333"/>
          <w:sz w:val="21"/>
          <w:szCs w:val="21"/>
        </w:rPr>
      </w:pPr>
      <w:r>
        <w:rPr>
          <w:rFonts w:ascii="黑体" w:eastAsia="黑体" w:hAnsi="微软雅黑" w:cs="黑体" w:hint="eastAsia"/>
          <w:color w:val="333333"/>
          <w:sz w:val="30"/>
          <w:szCs w:val="30"/>
        </w:rPr>
        <w:t>二、部门基本情况</w:t>
      </w:r>
    </w:p>
    <w:p w:rsidR="00E41282" w:rsidRDefault="00F909DF">
      <w:pPr>
        <w:pStyle w:val="a3"/>
        <w:widowControl/>
        <w:spacing w:beforeAutospacing="0" w:afterAutospacing="0"/>
        <w:ind w:firstLine="630"/>
        <w:rPr>
          <w:rFonts w:ascii="微软雅黑" w:eastAsia="微软雅黑" w:hAnsi="微软雅黑" w:cs="微软雅黑"/>
          <w:color w:val="333333"/>
          <w:sz w:val="21"/>
          <w:szCs w:val="21"/>
        </w:rPr>
      </w:pPr>
      <w:r>
        <w:rPr>
          <w:rFonts w:ascii="仿宋" w:eastAsia="仿宋" w:hAnsi="仿宋" w:cs="仿宋"/>
          <w:color w:val="333333"/>
          <w:sz w:val="30"/>
          <w:szCs w:val="30"/>
        </w:rPr>
        <w:t>纳入本套部门决算汇编范围的单位共 1 个，包括：萍乡市湘东中学。</w:t>
      </w:r>
    </w:p>
    <w:p w:rsidR="00E41282" w:rsidRDefault="00F909DF">
      <w:pPr>
        <w:pStyle w:val="a3"/>
        <w:widowControl/>
        <w:spacing w:beforeAutospacing="0" w:afterAutospacing="0"/>
        <w:ind w:firstLine="630"/>
        <w:rPr>
          <w:rFonts w:ascii="微软雅黑" w:eastAsia="微软雅黑" w:hAnsi="微软雅黑" w:cs="微软雅黑"/>
          <w:color w:val="333333"/>
          <w:sz w:val="21"/>
          <w:szCs w:val="21"/>
        </w:rPr>
      </w:pPr>
      <w:r>
        <w:rPr>
          <w:rFonts w:ascii="仿宋" w:eastAsia="仿宋" w:hAnsi="仿宋" w:cs="仿宋"/>
          <w:color w:val="333333"/>
          <w:sz w:val="30"/>
          <w:szCs w:val="30"/>
        </w:rPr>
        <w:t>本部门20</w:t>
      </w:r>
      <w:r>
        <w:rPr>
          <w:rFonts w:ascii="仿宋" w:eastAsia="仿宋" w:hAnsi="仿宋" w:cs="仿宋" w:hint="eastAsia"/>
          <w:color w:val="333333"/>
          <w:sz w:val="30"/>
          <w:szCs w:val="30"/>
        </w:rPr>
        <w:t>20</w:t>
      </w:r>
      <w:r>
        <w:rPr>
          <w:rFonts w:ascii="仿宋" w:eastAsia="仿宋" w:hAnsi="仿宋" w:cs="仿宋"/>
          <w:color w:val="333333"/>
          <w:sz w:val="30"/>
          <w:szCs w:val="30"/>
        </w:rPr>
        <w:t>年年末实有人数4</w:t>
      </w:r>
      <w:r>
        <w:rPr>
          <w:rFonts w:ascii="仿宋" w:eastAsia="仿宋" w:hAnsi="仿宋" w:cs="仿宋" w:hint="eastAsia"/>
          <w:color w:val="333333"/>
          <w:sz w:val="30"/>
          <w:szCs w:val="30"/>
        </w:rPr>
        <w:t>4</w:t>
      </w:r>
      <w:r>
        <w:rPr>
          <w:rFonts w:ascii="仿宋" w:eastAsia="仿宋" w:hAnsi="仿宋" w:cs="仿宋"/>
          <w:color w:val="333333"/>
          <w:sz w:val="30"/>
          <w:szCs w:val="30"/>
        </w:rPr>
        <w:t>5人，其中在职人员3</w:t>
      </w:r>
      <w:r>
        <w:rPr>
          <w:rFonts w:ascii="仿宋" w:eastAsia="仿宋" w:hAnsi="仿宋" w:cs="仿宋" w:hint="eastAsia"/>
          <w:color w:val="333333"/>
          <w:sz w:val="30"/>
          <w:szCs w:val="30"/>
        </w:rPr>
        <w:t>44</w:t>
      </w:r>
      <w:r>
        <w:rPr>
          <w:rFonts w:ascii="仿宋" w:eastAsia="仿宋" w:hAnsi="仿宋" w:cs="仿宋"/>
          <w:color w:val="333333"/>
          <w:sz w:val="30"/>
          <w:szCs w:val="30"/>
        </w:rPr>
        <w:t>人，离休人员0人，退休人员</w:t>
      </w:r>
      <w:r>
        <w:rPr>
          <w:rFonts w:ascii="仿宋" w:eastAsia="仿宋" w:hAnsi="仿宋" w:cs="仿宋" w:hint="eastAsia"/>
          <w:color w:val="333333"/>
          <w:sz w:val="30"/>
          <w:szCs w:val="30"/>
        </w:rPr>
        <w:t>101</w:t>
      </w:r>
      <w:r>
        <w:rPr>
          <w:rFonts w:ascii="仿宋" w:eastAsia="仿宋" w:hAnsi="仿宋" w:cs="仿宋"/>
          <w:color w:val="333333"/>
          <w:sz w:val="30"/>
          <w:szCs w:val="30"/>
        </w:rPr>
        <w:t>人；年末学生人数4</w:t>
      </w:r>
      <w:r>
        <w:rPr>
          <w:rFonts w:ascii="仿宋" w:eastAsia="仿宋" w:hAnsi="仿宋" w:cs="仿宋" w:hint="eastAsia"/>
          <w:color w:val="333333"/>
          <w:sz w:val="30"/>
          <w:szCs w:val="30"/>
        </w:rPr>
        <w:t>4</w:t>
      </w:r>
      <w:r>
        <w:rPr>
          <w:rFonts w:ascii="仿宋" w:eastAsia="仿宋" w:hAnsi="仿宋" w:cs="仿宋"/>
          <w:color w:val="333333"/>
          <w:sz w:val="30"/>
          <w:szCs w:val="30"/>
        </w:rPr>
        <w:t>88人。</w:t>
      </w:r>
    </w:p>
    <w:p w:rsidR="00E41282" w:rsidRDefault="00F909DF">
      <w:pPr>
        <w:pStyle w:val="a3"/>
        <w:widowControl/>
        <w:spacing w:beforeAutospacing="0" w:afterAutospacing="0" w:line="600" w:lineRule="atLeast"/>
        <w:jc w:val="center"/>
        <w:rPr>
          <w:rFonts w:ascii="微软雅黑" w:eastAsia="微软雅黑" w:hAnsi="微软雅黑" w:cs="微软雅黑"/>
          <w:color w:val="333333"/>
          <w:sz w:val="21"/>
          <w:szCs w:val="21"/>
        </w:rPr>
      </w:pPr>
      <w:r>
        <w:rPr>
          <w:rStyle w:val="a4"/>
          <w:rFonts w:ascii="宋体" w:eastAsia="宋体" w:hAnsi="宋体" w:cs="宋体" w:hint="eastAsia"/>
          <w:color w:val="333333"/>
          <w:sz w:val="31"/>
          <w:szCs w:val="31"/>
        </w:rPr>
        <w:t> </w:t>
      </w:r>
    </w:p>
    <w:p w:rsidR="00E41282" w:rsidRDefault="00F909DF">
      <w:pPr>
        <w:pStyle w:val="a3"/>
        <w:widowControl/>
        <w:spacing w:beforeAutospacing="0" w:afterAutospacing="0" w:line="600" w:lineRule="atLeast"/>
        <w:jc w:val="center"/>
        <w:rPr>
          <w:rFonts w:ascii="微软雅黑" w:eastAsia="微软雅黑" w:hAnsi="微软雅黑" w:cs="微软雅黑"/>
          <w:color w:val="333333"/>
          <w:sz w:val="21"/>
          <w:szCs w:val="21"/>
        </w:rPr>
      </w:pPr>
      <w:r>
        <w:rPr>
          <w:rStyle w:val="a4"/>
          <w:rFonts w:ascii="宋体" w:eastAsia="宋体" w:hAnsi="宋体" w:cs="宋体" w:hint="eastAsia"/>
          <w:color w:val="333333"/>
          <w:sz w:val="31"/>
          <w:szCs w:val="31"/>
        </w:rPr>
        <w:t> </w:t>
      </w:r>
    </w:p>
    <w:p w:rsidR="00E41282" w:rsidRDefault="00F909DF">
      <w:pPr>
        <w:pStyle w:val="a3"/>
        <w:widowControl/>
        <w:spacing w:beforeAutospacing="0" w:afterAutospacing="0" w:line="600" w:lineRule="atLeast"/>
        <w:jc w:val="center"/>
        <w:rPr>
          <w:rFonts w:ascii="微软雅黑" w:eastAsia="微软雅黑" w:hAnsi="微软雅黑" w:cs="微软雅黑"/>
          <w:color w:val="333333"/>
          <w:sz w:val="21"/>
          <w:szCs w:val="21"/>
        </w:rPr>
      </w:pPr>
      <w:r>
        <w:rPr>
          <w:rStyle w:val="a4"/>
          <w:rFonts w:ascii="宋体" w:eastAsia="宋体" w:hAnsi="宋体" w:cs="宋体" w:hint="eastAsia"/>
          <w:color w:val="333333"/>
          <w:sz w:val="31"/>
          <w:szCs w:val="31"/>
        </w:rPr>
        <w:t> </w:t>
      </w:r>
    </w:p>
    <w:p w:rsidR="00E41282" w:rsidRDefault="00F909DF">
      <w:pPr>
        <w:pStyle w:val="a3"/>
        <w:widowControl/>
        <w:spacing w:beforeAutospacing="0" w:afterAutospacing="0" w:line="600" w:lineRule="atLeast"/>
        <w:jc w:val="center"/>
        <w:rPr>
          <w:rFonts w:ascii="微软雅黑" w:eastAsia="微软雅黑" w:hAnsi="微软雅黑" w:cs="微软雅黑"/>
          <w:color w:val="333333"/>
          <w:sz w:val="21"/>
          <w:szCs w:val="21"/>
        </w:rPr>
      </w:pPr>
      <w:r>
        <w:rPr>
          <w:rStyle w:val="a4"/>
          <w:rFonts w:ascii="宋体" w:eastAsia="宋体" w:hAnsi="宋体" w:cs="宋体" w:hint="eastAsia"/>
          <w:color w:val="333333"/>
          <w:sz w:val="31"/>
          <w:szCs w:val="31"/>
        </w:rPr>
        <w:t> </w:t>
      </w:r>
    </w:p>
    <w:p w:rsidR="00E41282" w:rsidRDefault="00F909DF">
      <w:pPr>
        <w:pStyle w:val="a3"/>
        <w:widowControl/>
        <w:spacing w:beforeAutospacing="0" w:afterAutospacing="0" w:line="600" w:lineRule="atLeast"/>
        <w:jc w:val="center"/>
        <w:rPr>
          <w:rFonts w:ascii="微软雅黑" w:eastAsia="微软雅黑" w:hAnsi="微软雅黑" w:cs="微软雅黑"/>
          <w:color w:val="333333"/>
          <w:sz w:val="21"/>
          <w:szCs w:val="21"/>
        </w:rPr>
      </w:pPr>
      <w:r>
        <w:rPr>
          <w:rStyle w:val="a4"/>
          <w:rFonts w:ascii="宋体" w:eastAsia="宋体" w:hAnsi="宋体" w:cs="宋体" w:hint="eastAsia"/>
          <w:color w:val="333333"/>
          <w:sz w:val="31"/>
          <w:szCs w:val="31"/>
        </w:rPr>
        <w:t> </w:t>
      </w:r>
    </w:p>
    <w:p w:rsidR="00E41282" w:rsidRDefault="00F909DF">
      <w:pPr>
        <w:pStyle w:val="a3"/>
        <w:widowControl/>
        <w:spacing w:beforeAutospacing="0" w:afterAutospacing="0" w:line="600" w:lineRule="atLeast"/>
        <w:jc w:val="center"/>
        <w:rPr>
          <w:rFonts w:ascii="微软雅黑" w:eastAsia="微软雅黑" w:hAnsi="微软雅黑" w:cs="微软雅黑"/>
          <w:color w:val="333333"/>
          <w:sz w:val="21"/>
          <w:szCs w:val="21"/>
        </w:rPr>
      </w:pPr>
      <w:r>
        <w:rPr>
          <w:rStyle w:val="a4"/>
          <w:rFonts w:ascii="宋体" w:eastAsia="宋体" w:hAnsi="宋体" w:cs="宋体" w:hint="eastAsia"/>
          <w:color w:val="333333"/>
          <w:sz w:val="31"/>
          <w:szCs w:val="31"/>
        </w:rPr>
        <w:t> </w:t>
      </w:r>
    </w:p>
    <w:p w:rsidR="00E41282" w:rsidRDefault="00F909DF">
      <w:pPr>
        <w:pStyle w:val="a3"/>
        <w:widowControl/>
        <w:spacing w:beforeAutospacing="0" w:afterAutospacing="0" w:line="600" w:lineRule="atLeast"/>
        <w:jc w:val="center"/>
        <w:rPr>
          <w:rFonts w:ascii="微软雅黑" w:eastAsia="微软雅黑" w:hAnsi="微软雅黑" w:cs="微软雅黑"/>
          <w:color w:val="333333"/>
          <w:sz w:val="21"/>
          <w:szCs w:val="21"/>
        </w:rPr>
      </w:pPr>
      <w:r>
        <w:rPr>
          <w:rStyle w:val="a4"/>
          <w:rFonts w:ascii="宋体" w:eastAsia="宋体" w:hAnsi="宋体" w:cs="宋体" w:hint="eastAsia"/>
          <w:color w:val="333333"/>
          <w:sz w:val="31"/>
          <w:szCs w:val="31"/>
        </w:rPr>
        <w:t> </w:t>
      </w:r>
    </w:p>
    <w:p w:rsidR="00E41282" w:rsidRDefault="00F909DF">
      <w:pPr>
        <w:pStyle w:val="a3"/>
        <w:widowControl/>
        <w:spacing w:beforeAutospacing="0" w:afterAutospacing="0" w:line="600" w:lineRule="atLeast"/>
        <w:jc w:val="center"/>
        <w:rPr>
          <w:rFonts w:ascii="微软雅黑" w:eastAsia="微软雅黑" w:hAnsi="微软雅黑" w:cs="微软雅黑"/>
          <w:color w:val="333333"/>
          <w:sz w:val="21"/>
          <w:szCs w:val="21"/>
        </w:rPr>
      </w:pPr>
      <w:r>
        <w:rPr>
          <w:rStyle w:val="a4"/>
          <w:rFonts w:ascii="宋体" w:eastAsia="宋体" w:hAnsi="宋体" w:cs="宋体" w:hint="eastAsia"/>
          <w:color w:val="333333"/>
          <w:sz w:val="31"/>
          <w:szCs w:val="31"/>
        </w:rPr>
        <w:lastRenderedPageBreak/>
        <w:t> </w:t>
      </w:r>
    </w:p>
    <w:p w:rsidR="00E41282" w:rsidRDefault="00F909DF">
      <w:pPr>
        <w:pStyle w:val="a3"/>
        <w:widowControl/>
        <w:spacing w:beforeAutospacing="0" w:afterAutospacing="0" w:line="600" w:lineRule="atLeast"/>
        <w:jc w:val="center"/>
        <w:rPr>
          <w:rFonts w:ascii="微软雅黑" w:eastAsia="微软雅黑" w:hAnsi="微软雅黑" w:cs="微软雅黑"/>
          <w:color w:val="333333"/>
          <w:sz w:val="21"/>
          <w:szCs w:val="21"/>
        </w:rPr>
      </w:pPr>
      <w:r>
        <w:rPr>
          <w:rStyle w:val="a4"/>
          <w:rFonts w:ascii="宋体" w:eastAsia="宋体" w:hAnsi="宋体" w:cs="宋体" w:hint="eastAsia"/>
          <w:color w:val="333333"/>
          <w:sz w:val="31"/>
          <w:szCs w:val="31"/>
        </w:rPr>
        <w:t> </w:t>
      </w:r>
    </w:p>
    <w:p w:rsidR="00E41282" w:rsidRDefault="00F909DF">
      <w:pPr>
        <w:pStyle w:val="a3"/>
        <w:widowControl/>
        <w:spacing w:beforeAutospacing="0" w:afterAutospacing="0" w:line="600" w:lineRule="atLeast"/>
        <w:jc w:val="center"/>
        <w:rPr>
          <w:rFonts w:ascii="微软雅黑" w:eastAsia="微软雅黑" w:hAnsi="微软雅黑" w:cs="微软雅黑"/>
          <w:color w:val="333333"/>
          <w:sz w:val="21"/>
          <w:szCs w:val="21"/>
        </w:rPr>
      </w:pPr>
      <w:r>
        <w:rPr>
          <w:rStyle w:val="a4"/>
          <w:rFonts w:ascii="宋体" w:eastAsia="宋体" w:hAnsi="宋体" w:cs="宋体" w:hint="eastAsia"/>
          <w:color w:val="333333"/>
          <w:sz w:val="31"/>
          <w:szCs w:val="31"/>
        </w:rPr>
        <w:t> </w:t>
      </w:r>
    </w:p>
    <w:p w:rsidR="00E41282" w:rsidRDefault="00F909DF">
      <w:pPr>
        <w:pStyle w:val="a3"/>
        <w:widowControl/>
        <w:spacing w:beforeAutospacing="0" w:afterAutospacing="0" w:line="600" w:lineRule="atLeast"/>
        <w:jc w:val="center"/>
        <w:rPr>
          <w:rStyle w:val="a4"/>
          <w:rFonts w:ascii="宋体" w:eastAsia="宋体" w:hAnsi="宋体" w:cs="宋体"/>
          <w:color w:val="333333"/>
          <w:sz w:val="31"/>
          <w:szCs w:val="31"/>
        </w:rPr>
      </w:pPr>
      <w:r>
        <w:rPr>
          <w:rStyle w:val="a4"/>
          <w:rFonts w:ascii="宋体" w:eastAsia="宋体" w:hAnsi="宋体" w:cs="宋体" w:hint="eastAsia"/>
          <w:color w:val="333333"/>
          <w:sz w:val="31"/>
          <w:szCs w:val="31"/>
        </w:rPr>
        <w:t> </w:t>
      </w:r>
    </w:p>
    <w:p w:rsidR="00E41282" w:rsidRDefault="00F909DF">
      <w:pPr>
        <w:pStyle w:val="a3"/>
        <w:widowControl/>
        <w:spacing w:beforeAutospacing="0" w:afterAutospacing="0" w:line="600" w:lineRule="atLeast"/>
        <w:jc w:val="center"/>
        <w:rPr>
          <w:rStyle w:val="a4"/>
          <w:rFonts w:ascii="宋体" w:eastAsia="宋体" w:hAnsi="宋体" w:cs="宋体"/>
          <w:color w:val="333333"/>
          <w:sz w:val="31"/>
          <w:szCs w:val="31"/>
        </w:rPr>
      </w:pPr>
      <w:r>
        <w:rPr>
          <w:rFonts w:ascii="宋体" w:hAnsi="宋体" w:hint="eastAsia"/>
          <w:b/>
          <w:sz w:val="32"/>
          <w:szCs w:val="32"/>
        </w:rPr>
        <w:t>第二部分  2020年度部门决算表</w:t>
      </w:r>
    </w:p>
    <w:p w:rsidR="00E41282" w:rsidRDefault="00E41282">
      <w:pPr>
        <w:pStyle w:val="a3"/>
        <w:widowControl/>
        <w:spacing w:beforeAutospacing="0" w:afterAutospacing="0" w:line="600" w:lineRule="atLeast"/>
        <w:jc w:val="center"/>
        <w:rPr>
          <w:rStyle w:val="a4"/>
          <w:rFonts w:ascii="宋体" w:eastAsia="宋体" w:hAnsi="宋体" w:cs="宋体"/>
          <w:color w:val="333333"/>
          <w:sz w:val="31"/>
          <w:szCs w:val="31"/>
        </w:rPr>
      </w:pPr>
    </w:p>
    <w:p w:rsidR="00E41282" w:rsidRDefault="00F909DF">
      <w:pPr>
        <w:pStyle w:val="a3"/>
        <w:widowControl/>
        <w:spacing w:beforeAutospacing="0" w:afterAutospacing="0" w:line="600" w:lineRule="atLeast"/>
        <w:jc w:val="both"/>
      </w:pPr>
      <w:r>
        <w:rPr>
          <w:noProof/>
        </w:rPr>
        <w:drawing>
          <wp:inline distT="0" distB="0" distL="114300" distR="114300">
            <wp:extent cx="5268595" cy="5523865"/>
            <wp:effectExtent l="0" t="0" r="8255" b="635"/>
            <wp:docPr id="2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2"/>
                    <pic:cNvPicPr>
                      <a:picLocks noChangeAspect="1"/>
                    </pic:cNvPicPr>
                  </pic:nvPicPr>
                  <pic:blipFill>
                    <a:blip r:embed="rId8" cstate="print"/>
                    <a:stretch>
                      <a:fillRect/>
                    </a:stretch>
                  </pic:blipFill>
                  <pic:spPr>
                    <a:xfrm>
                      <a:off x="0" y="0"/>
                      <a:ext cx="5268595" cy="5523865"/>
                    </a:xfrm>
                    <a:prstGeom prst="rect">
                      <a:avLst/>
                    </a:prstGeom>
                    <a:noFill/>
                    <a:ln>
                      <a:noFill/>
                    </a:ln>
                  </pic:spPr>
                </pic:pic>
              </a:graphicData>
            </a:graphic>
          </wp:inline>
        </w:drawing>
      </w:r>
    </w:p>
    <w:p w:rsidR="00E41282" w:rsidRDefault="00E41282">
      <w:pPr>
        <w:pStyle w:val="a3"/>
        <w:widowControl/>
        <w:spacing w:beforeAutospacing="0" w:afterAutospacing="0" w:line="600" w:lineRule="atLeast"/>
        <w:jc w:val="both"/>
      </w:pPr>
    </w:p>
    <w:p w:rsidR="00E41282" w:rsidRDefault="00F909DF">
      <w:pPr>
        <w:pStyle w:val="a3"/>
        <w:widowControl/>
        <w:spacing w:beforeAutospacing="0" w:afterAutospacing="0" w:line="600" w:lineRule="atLeast"/>
        <w:jc w:val="both"/>
        <w:rPr>
          <w:rStyle w:val="a4"/>
          <w:rFonts w:ascii="宋体" w:eastAsia="宋体" w:hAnsi="宋体" w:cs="宋体"/>
          <w:color w:val="333333"/>
          <w:sz w:val="31"/>
          <w:szCs w:val="31"/>
        </w:rPr>
      </w:pPr>
      <w:r>
        <w:rPr>
          <w:noProof/>
        </w:rPr>
        <w:lastRenderedPageBreak/>
        <w:drawing>
          <wp:inline distT="0" distB="0" distL="114300" distR="114300">
            <wp:extent cx="5273040" cy="2754630"/>
            <wp:effectExtent l="0" t="0" r="3810" b="7620"/>
            <wp:docPr id="27"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1"/>
                    <pic:cNvPicPr>
                      <a:picLocks noChangeAspect="1"/>
                    </pic:cNvPicPr>
                  </pic:nvPicPr>
                  <pic:blipFill>
                    <a:blip r:embed="rId9" cstate="print"/>
                    <a:stretch>
                      <a:fillRect/>
                    </a:stretch>
                  </pic:blipFill>
                  <pic:spPr>
                    <a:xfrm>
                      <a:off x="0" y="0"/>
                      <a:ext cx="5273040" cy="2754630"/>
                    </a:xfrm>
                    <a:prstGeom prst="rect">
                      <a:avLst/>
                    </a:prstGeom>
                    <a:noFill/>
                    <a:ln>
                      <a:noFill/>
                    </a:ln>
                  </pic:spPr>
                </pic:pic>
              </a:graphicData>
            </a:graphic>
          </wp:inline>
        </w:drawing>
      </w:r>
    </w:p>
    <w:p w:rsidR="00E41282" w:rsidRDefault="00E41282">
      <w:pPr>
        <w:pStyle w:val="a3"/>
        <w:widowControl/>
        <w:spacing w:beforeAutospacing="0" w:afterAutospacing="0" w:line="600" w:lineRule="atLeast"/>
        <w:jc w:val="center"/>
        <w:rPr>
          <w:rStyle w:val="a4"/>
          <w:rFonts w:ascii="宋体" w:eastAsia="宋体" w:hAnsi="宋体" w:cs="宋体"/>
          <w:color w:val="333333"/>
          <w:sz w:val="31"/>
          <w:szCs w:val="31"/>
        </w:rPr>
      </w:pPr>
    </w:p>
    <w:p w:rsidR="00E41282" w:rsidRDefault="00E41282">
      <w:pPr>
        <w:pStyle w:val="a3"/>
        <w:widowControl/>
        <w:spacing w:beforeAutospacing="0" w:afterAutospacing="0" w:line="600" w:lineRule="atLeast"/>
        <w:jc w:val="center"/>
        <w:rPr>
          <w:rStyle w:val="a4"/>
          <w:rFonts w:ascii="宋体" w:eastAsia="宋体" w:hAnsi="宋体" w:cs="宋体"/>
          <w:color w:val="333333"/>
          <w:sz w:val="31"/>
          <w:szCs w:val="31"/>
        </w:rPr>
      </w:pPr>
    </w:p>
    <w:p w:rsidR="00E41282" w:rsidRDefault="00F909DF">
      <w:pPr>
        <w:pStyle w:val="a3"/>
        <w:widowControl/>
        <w:spacing w:beforeAutospacing="0" w:afterAutospacing="0" w:line="600" w:lineRule="atLeast"/>
        <w:jc w:val="both"/>
      </w:pPr>
      <w:r>
        <w:rPr>
          <w:noProof/>
        </w:rPr>
        <w:drawing>
          <wp:inline distT="0" distB="0" distL="114300" distR="114300">
            <wp:extent cx="5270500" cy="2997835"/>
            <wp:effectExtent l="0" t="0" r="6350" b="12065"/>
            <wp:docPr id="26"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0"/>
                    <pic:cNvPicPr>
                      <a:picLocks noChangeAspect="1"/>
                    </pic:cNvPicPr>
                  </pic:nvPicPr>
                  <pic:blipFill>
                    <a:blip r:embed="rId10" cstate="print"/>
                    <a:stretch>
                      <a:fillRect/>
                    </a:stretch>
                  </pic:blipFill>
                  <pic:spPr>
                    <a:xfrm>
                      <a:off x="0" y="0"/>
                      <a:ext cx="5270500" cy="2997835"/>
                    </a:xfrm>
                    <a:prstGeom prst="rect">
                      <a:avLst/>
                    </a:prstGeom>
                    <a:noFill/>
                    <a:ln>
                      <a:noFill/>
                    </a:ln>
                  </pic:spPr>
                </pic:pic>
              </a:graphicData>
            </a:graphic>
          </wp:inline>
        </w:drawing>
      </w:r>
    </w:p>
    <w:p w:rsidR="00E41282" w:rsidRDefault="00E41282">
      <w:pPr>
        <w:pStyle w:val="a3"/>
        <w:widowControl/>
        <w:spacing w:beforeAutospacing="0" w:afterAutospacing="0" w:line="600" w:lineRule="atLeast"/>
        <w:jc w:val="both"/>
      </w:pPr>
    </w:p>
    <w:p w:rsidR="00E41282" w:rsidRDefault="00F909DF">
      <w:pPr>
        <w:pStyle w:val="a3"/>
        <w:widowControl/>
        <w:spacing w:beforeAutospacing="0" w:afterAutospacing="0" w:line="600" w:lineRule="atLeast"/>
        <w:jc w:val="both"/>
      </w:pPr>
      <w:r>
        <w:rPr>
          <w:noProof/>
        </w:rPr>
        <w:lastRenderedPageBreak/>
        <w:drawing>
          <wp:inline distT="0" distB="0" distL="114300" distR="114300">
            <wp:extent cx="5267325" cy="4837430"/>
            <wp:effectExtent l="0" t="0" r="9525" b="1270"/>
            <wp:docPr id="2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9"/>
                    <pic:cNvPicPr>
                      <a:picLocks noChangeAspect="1"/>
                    </pic:cNvPicPr>
                  </pic:nvPicPr>
                  <pic:blipFill>
                    <a:blip r:embed="rId11" cstate="print"/>
                    <a:stretch>
                      <a:fillRect/>
                    </a:stretch>
                  </pic:blipFill>
                  <pic:spPr>
                    <a:xfrm>
                      <a:off x="0" y="0"/>
                      <a:ext cx="5267325" cy="4837430"/>
                    </a:xfrm>
                    <a:prstGeom prst="rect">
                      <a:avLst/>
                    </a:prstGeom>
                    <a:noFill/>
                    <a:ln>
                      <a:noFill/>
                    </a:ln>
                  </pic:spPr>
                </pic:pic>
              </a:graphicData>
            </a:graphic>
          </wp:inline>
        </w:drawing>
      </w:r>
    </w:p>
    <w:p w:rsidR="00E41282" w:rsidRDefault="00E41282">
      <w:pPr>
        <w:pStyle w:val="a3"/>
        <w:widowControl/>
        <w:spacing w:beforeAutospacing="0" w:afterAutospacing="0" w:line="600" w:lineRule="atLeast"/>
        <w:jc w:val="center"/>
      </w:pPr>
    </w:p>
    <w:p w:rsidR="00E41282" w:rsidRDefault="00E41282">
      <w:pPr>
        <w:pStyle w:val="a3"/>
        <w:widowControl/>
        <w:spacing w:beforeAutospacing="0" w:afterAutospacing="0" w:line="600" w:lineRule="atLeast"/>
        <w:jc w:val="center"/>
      </w:pPr>
    </w:p>
    <w:p w:rsidR="00E41282" w:rsidRDefault="00E41282">
      <w:pPr>
        <w:pStyle w:val="a3"/>
        <w:widowControl/>
        <w:spacing w:beforeAutospacing="0" w:afterAutospacing="0" w:line="600" w:lineRule="atLeast"/>
        <w:jc w:val="center"/>
      </w:pPr>
    </w:p>
    <w:p w:rsidR="00E41282" w:rsidRDefault="00F909DF">
      <w:pPr>
        <w:pStyle w:val="a3"/>
        <w:widowControl/>
        <w:spacing w:beforeAutospacing="0" w:afterAutospacing="0" w:line="600" w:lineRule="atLeast"/>
        <w:jc w:val="both"/>
      </w:pPr>
      <w:r>
        <w:rPr>
          <w:noProof/>
        </w:rPr>
        <w:lastRenderedPageBreak/>
        <w:drawing>
          <wp:inline distT="0" distB="0" distL="114300" distR="114300">
            <wp:extent cx="5267960" cy="3457575"/>
            <wp:effectExtent l="0" t="0" r="8890" b="9525"/>
            <wp:docPr id="2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8"/>
                    <pic:cNvPicPr>
                      <a:picLocks noChangeAspect="1"/>
                    </pic:cNvPicPr>
                  </pic:nvPicPr>
                  <pic:blipFill>
                    <a:blip r:embed="rId12" cstate="print"/>
                    <a:stretch>
                      <a:fillRect/>
                    </a:stretch>
                  </pic:blipFill>
                  <pic:spPr>
                    <a:xfrm>
                      <a:off x="0" y="0"/>
                      <a:ext cx="5267960" cy="3457575"/>
                    </a:xfrm>
                    <a:prstGeom prst="rect">
                      <a:avLst/>
                    </a:prstGeom>
                    <a:noFill/>
                    <a:ln>
                      <a:noFill/>
                    </a:ln>
                  </pic:spPr>
                </pic:pic>
              </a:graphicData>
            </a:graphic>
          </wp:inline>
        </w:drawing>
      </w:r>
    </w:p>
    <w:p w:rsidR="00E41282" w:rsidRDefault="00E41282">
      <w:pPr>
        <w:pStyle w:val="a3"/>
        <w:widowControl/>
        <w:spacing w:beforeAutospacing="0" w:afterAutospacing="0" w:line="600" w:lineRule="atLeast"/>
        <w:jc w:val="center"/>
      </w:pPr>
    </w:p>
    <w:p w:rsidR="00E41282" w:rsidRDefault="00E41282">
      <w:pPr>
        <w:pStyle w:val="a3"/>
        <w:widowControl/>
        <w:spacing w:beforeAutospacing="0" w:afterAutospacing="0" w:line="600" w:lineRule="atLeast"/>
        <w:jc w:val="center"/>
      </w:pPr>
    </w:p>
    <w:p w:rsidR="00E41282" w:rsidRDefault="00E41282">
      <w:pPr>
        <w:pStyle w:val="a3"/>
        <w:widowControl/>
        <w:spacing w:beforeAutospacing="0" w:afterAutospacing="0" w:line="600" w:lineRule="atLeast"/>
        <w:jc w:val="center"/>
      </w:pPr>
    </w:p>
    <w:p w:rsidR="00E41282" w:rsidRDefault="00E41282">
      <w:pPr>
        <w:pStyle w:val="a3"/>
        <w:widowControl/>
        <w:spacing w:beforeAutospacing="0" w:afterAutospacing="0" w:line="600" w:lineRule="atLeast"/>
        <w:jc w:val="center"/>
      </w:pPr>
    </w:p>
    <w:p w:rsidR="00E41282" w:rsidRDefault="00E41282">
      <w:pPr>
        <w:pStyle w:val="a3"/>
        <w:widowControl/>
        <w:spacing w:beforeAutospacing="0" w:afterAutospacing="0" w:line="600" w:lineRule="atLeast"/>
        <w:jc w:val="center"/>
      </w:pPr>
    </w:p>
    <w:p w:rsidR="00E41282" w:rsidRDefault="00E41282">
      <w:pPr>
        <w:pStyle w:val="a3"/>
        <w:widowControl/>
        <w:spacing w:beforeAutospacing="0" w:afterAutospacing="0" w:line="600" w:lineRule="atLeast"/>
        <w:jc w:val="center"/>
      </w:pPr>
    </w:p>
    <w:p w:rsidR="00E41282" w:rsidRDefault="00E41282">
      <w:pPr>
        <w:pStyle w:val="a3"/>
        <w:widowControl/>
        <w:spacing w:beforeAutospacing="0" w:afterAutospacing="0" w:line="600" w:lineRule="atLeast"/>
        <w:jc w:val="center"/>
      </w:pPr>
    </w:p>
    <w:p w:rsidR="00E41282" w:rsidRDefault="00E41282">
      <w:pPr>
        <w:pStyle w:val="a3"/>
        <w:widowControl/>
        <w:spacing w:beforeAutospacing="0" w:afterAutospacing="0" w:line="600" w:lineRule="atLeast"/>
        <w:jc w:val="center"/>
      </w:pPr>
    </w:p>
    <w:p w:rsidR="00E41282" w:rsidRDefault="00E41282">
      <w:pPr>
        <w:pStyle w:val="a3"/>
        <w:widowControl/>
        <w:spacing w:beforeAutospacing="0" w:afterAutospacing="0" w:line="600" w:lineRule="atLeast"/>
        <w:jc w:val="center"/>
      </w:pPr>
    </w:p>
    <w:p w:rsidR="00E41282" w:rsidRDefault="00E41282">
      <w:pPr>
        <w:pStyle w:val="a3"/>
        <w:widowControl/>
        <w:spacing w:beforeAutospacing="0" w:afterAutospacing="0" w:line="600" w:lineRule="atLeast"/>
        <w:jc w:val="center"/>
      </w:pPr>
    </w:p>
    <w:p w:rsidR="00E41282" w:rsidRDefault="00E41282">
      <w:pPr>
        <w:pStyle w:val="a3"/>
        <w:widowControl/>
        <w:spacing w:beforeAutospacing="0" w:afterAutospacing="0" w:line="600" w:lineRule="atLeast"/>
        <w:jc w:val="center"/>
      </w:pPr>
    </w:p>
    <w:p w:rsidR="00E41282" w:rsidRDefault="00E41282">
      <w:pPr>
        <w:pStyle w:val="a3"/>
        <w:widowControl/>
        <w:spacing w:beforeAutospacing="0" w:afterAutospacing="0" w:line="600" w:lineRule="atLeast"/>
        <w:jc w:val="center"/>
      </w:pPr>
    </w:p>
    <w:p w:rsidR="00E41282" w:rsidRDefault="00E41282">
      <w:pPr>
        <w:pStyle w:val="a3"/>
        <w:widowControl/>
        <w:spacing w:beforeAutospacing="0" w:afterAutospacing="0" w:line="600" w:lineRule="atLeast"/>
        <w:jc w:val="center"/>
        <w:rPr>
          <w:rStyle w:val="a4"/>
          <w:rFonts w:ascii="宋体" w:eastAsia="宋体" w:hAnsi="宋体" w:cs="宋体"/>
          <w:color w:val="333333"/>
          <w:sz w:val="31"/>
          <w:szCs w:val="31"/>
        </w:rPr>
      </w:pPr>
    </w:p>
    <w:p w:rsidR="00E41282" w:rsidRDefault="00E41282">
      <w:pPr>
        <w:pStyle w:val="a3"/>
        <w:widowControl/>
        <w:spacing w:beforeAutospacing="0" w:afterAutospacing="0" w:line="600" w:lineRule="atLeast"/>
        <w:jc w:val="center"/>
        <w:rPr>
          <w:rStyle w:val="a4"/>
          <w:rFonts w:ascii="宋体" w:eastAsia="宋体" w:hAnsi="宋体" w:cs="宋体"/>
          <w:color w:val="333333"/>
          <w:sz w:val="31"/>
          <w:szCs w:val="31"/>
        </w:rPr>
      </w:pPr>
    </w:p>
    <w:p w:rsidR="00E41282" w:rsidRDefault="00F909DF">
      <w:pPr>
        <w:pStyle w:val="a3"/>
        <w:widowControl/>
        <w:spacing w:beforeAutospacing="0" w:afterAutospacing="0" w:line="600" w:lineRule="atLeast"/>
      </w:pPr>
      <w:r>
        <w:rPr>
          <w:noProof/>
        </w:rPr>
        <w:lastRenderedPageBreak/>
        <w:drawing>
          <wp:inline distT="0" distB="0" distL="114300" distR="114300">
            <wp:extent cx="5269230" cy="9033510"/>
            <wp:effectExtent l="0" t="0" r="7620" b="15240"/>
            <wp:docPr id="2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7"/>
                    <pic:cNvPicPr>
                      <a:picLocks noChangeAspect="1"/>
                    </pic:cNvPicPr>
                  </pic:nvPicPr>
                  <pic:blipFill>
                    <a:blip r:embed="rId13" cstate="print"/>
                    <a:stretch>
                      <a:fillRect/>
                    </a:stretch>
                  </pic:blipFill>
                  <pic:spPr>
                    <a:xfrm>
                      <a:off x="0" y="0"/>
                      <a:ext cx="5269230" cy="9033510"/>
                    </a:xfrm>
                    <a:prstGeom prst="rect">
                      <a:avLst/>
                    </a:prstGeom>
                    <a:noFill/>
                    <a:ln>
                      <a:noFill/>
                    </a:ln>
                  </pic:spPr>
                </pic:pic>
              </a:graphicData>
            </a:graphic>
          </wp:inline>
        </w:drawing>
      </w:r>
    </w:p>
    <w:p w:rsidR="00E41282" w:rsidRDefault="00F909DF">
      <w:pPr>
        <w:pStyle w:val="a3"/>
        <w:widowControl/>
        <w:spacing w:beforeAutospacing="0" w:afterAutospacing="0" w:line="600" w:lineRule="atLeast"/>
      </w:pPr>
      <w:r>
        <w:rPr>
          <w:noProof/>
        </w:rPr>
        <w:lastRenderedPageBreak/>
        <w:drawing>
          <wp:inline distT="0" distB="0" distL="114300" distR="114300">
            <wp:extent cx="5273040" cy="4604385"/>
            <wp:effectExtent l="0" t="0" r="3810" b="5715"/>
            <wp:docPr id="2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6"/>
                    <pic:cNvPicPr>
                      <a:picLocks noChangeAspect="1"/>
                    </pic:cNvPicPr>
                  </pic:nvPicPr>
                  <pic:blipFill>
                    <a:blip r:embed="rId14" cstate="print"/>
                    <a:stretch>
                      <a:fillRect/>
                    </a:stretch>
                  </pic:blipFill>
                  <pic:spPr>
                    <a:xfrm>
                      <a:off x="0" y="0"/>
                      <a:ext cx="5273040" cy="4604385"/>
                    </a:xfrm>
                    <a:prstGeom prst="rect">
                      <a:avLst/>
                    </a:prstGeom>
                    <a:noFill/>
                    <a:ln>
                      <a:noFill/>
                    </a:ln>
                  </pic:spPr>
                </pic:pic>
              </a:graphicData>
            </a:graphic>
          </wp:inline>
        </w:drawing>
      </w:r>
    </w:p>
    <w:p w:rsidR="00E41282" w:rsidRDefault="00E41282">
      <w:pPr>
        <w:pStyle w:val="a3"/>
        <w:widowControl/>
        <w:spacing w:beforeAutospacing="0" w:afterAutospacing="0" w:line="600" w:lineRule="atLeast"/>
      </w:pPr>
    </w:p>
    <w:p w:rsidR="00E41282" w:rsidRDefault="00F909DF">
      <w:pPr>
        <w:pStyle w:val="a3"/>
        <w:widowControl/>
        <w:spacing w:beforeAutospacing="0" w:afterAutospacing="0" w:line="600" w:lineRule="atLeast"/>
      </w:pPr>
      <w:r>
        <w:rPr>
          <w:noProof/>
        </w:rPr>
        <w:drawing>
          <wp:inline distT="0" distB="0" distL="114300" distR="114300">
            <wp:extent cx="5272405" cy="1663700"/>
            <wp:effectExtent l="0" t="0" r="4445" b="12700"/>
            <wp:docPr id="2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5"/>
                    <pic:cNvPicPr>
                      <a:picLocks noChangeAspect="1"/>
                    </pic:cNvPicPr>
                  </pic:nvPicPr>
                  <pic:blipFill>
                    <a:blip r:embed="rId15" cstate="print"/>
                    <a:stretch>
                      <a:fillRect/>
                    </a:stretch>
                  </pic:blipFill>
                  <pic:spPr>
                    <a:xfrm>
                      <a:off x="0" y="0"/>
                      <a:ext cx="5272405" cy="1663700"/>
                    </a:xfrm>
                    <a:prstGeom prst="rect">
                      <a:avLst/>
                    </a:prstGeom>
                    <a:noFill/>
                    <a:ln>
                      <a:noFill/>
                    </a:ln>
                  </pic:spPr>
                </pic:pic>
              </a:graphicData>
            </a:graphic>
          </wp:inline>
        </w:drawing>
      </w:r>
    </w:p>
    <w:p w:rsidR="00E41282" w:rsidRDefault="00E41282">
      <w:pPr>
        <w:pStyle w:val="a3"/>
        <w:widowControl/>
        <w:spacing w:beforeAutospacing="0" w:afterAutospacing="0" w:line="600" w:lineRule="atLeast"/>
      </w:pPr>
    </w:p>
    <w:p w:rsidR="00E41282" w:rsidRDefault="00E41282">
      <w:pPr>
        <w:pStyle w:val="a3"/>
        <w:widowControl/>
        <w:spacing w:beforeAutospacing="0" w:afterAutospacing="0" w:line="600" w:lineRule="atLeast"/>
      </w:pPr>
    </w:p>
    <w:p w:rsidR="00E41282" w:rsidRDefault="00E41282">
      <w:pPr>
        <w:pStyle w:val="a3"/>
        <w:widowControl/>
        <w:spacing w:beforeAutospacing="0" w:afterAutospacing="0" w:line="600" w:lineRule="atLeast"/>
      </w:pPr>
    </w:p>
    <w:p w:rsidR="00E41282" w:rsidRDefault="00E41282">
      <w:pPr>
        <w:pStyle w:val="a3"/>
        <w:widowControl/>
        <w:spacing w:beforeAutospacing="0" w:afterAutospacing="0" w:line="600" w:lineRule="atLeast"/>
      </w:pPr>
    </w:p>
    <w:p w:rsidR="00E41282" w:rsidRDefault="00F909DF">
      <w:pPr>
        <w:pStyle w:val="a3"/>
        <w:widowControl/>
        <w:spacing w:beforeAutospacing="0" w:afterAutospacing="0" w:line="600" w:lineRule="atLeast"/>
      </w:pPr>
      <w:r>
        <w:rPr>
          <w:noProof/>
        </w:rPr>
        <w:lastRenderedPageBreak/>
        <w:drawing>
          <wp:inline distT="0" distB="0" distL="114300" distR="114300">
            <wp:extent cx="5270500" cy="1743710"/>
            <wp:effectExtent l="0" t="0" r="6350" b="8890"/>
            <wp:docPr id="29"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3"/>
                    <pic:cNvPicPr>
                      <a:picLocks noChangeAspect="1"/>
                    </pic:cNvPicPr>
                  </pic:nvPicPr>
                  <pic:blipFill>
                    <a:blip r:embed="rId16" cstate="print"/>
                    <a:stretch>
                      <a:fillRect/>
                    </a:stretch>
                  </pic:blipFill>
                  <pic:spPr>
                    <a:xfrm>
                      <a:off x="0" y="0"/>
                      <a:ext cx="5270500" cy="1743710"/>
                    </a:xfrm>
                    <a:prstGeom prst="rect">
                      <a:avLst/>
                    </a:prstGeom>
                    <a:noFill/>
                    <a:ln>
                      <a:noFill/>
                    </a:ln>
                  </pic:spPr>
                </pic:pic>
              </a:graphicData>
            </a:graphic>
          </wp:inline>
        </w:drawing>
      </w:r>
    </w:p>
    <w:p w:rsidR="00E41282" w:rsidRDefault="00F909DF">
      <w:pPr>
        <w:pStyle w:val="a3"/>
        <w:widowControl/>
        <w:spacing w:beforeAutospacing="0" w:afterAutospacing="0" w:line="600" w:lineRule="atLeast"/>
        <w:jc w:val="both"/>
        <w:rPr>
          <w:rStyle w:val="a4"/>
          <w:rFonts w:ascii="宋体" w:eastAsia="宋体" w:hAnsi="宋体" w:cs="宋体"/>
          <w:color w:val="333333"/>
          <w:sz w:val="31"/>
          <w:szCs w:val="31"/>
        </w:rPr>
      </w:pPr>
      <w:r>
        <w:rPr>
          <w:rStyle w:val="a4"/>
          <w:rFonts w:ascii="宋体" w:eastAsia="宋体" w:hAnsi="宋体" w:cs="宋体" w:hint="eastAsia"/>
          <w:color w:val="333333"/>
          <w:sz w:val="31"/>
          <w:szCs w:val="31"/>
        </w:rPr>
        <w:t> </w:t>
      </w:r>
    </w:p>
    <w:p w:rsidR="00E41282" w:rsidRDefault="00F909DF">
      <w:pPr>
        <w:pStyle w:val="a3"/>
        <w:widowControl/>
        <w:spacing w:beforeAutospacing="0" w:afterAutospacing="0" w:line="600" w:lineRule="atLeast"/>
        <w:jc w:val="both"/>
        <w:rPr>
          <w:rFonts w:ascii="微软雅黑" w:eastAsia="微软雅黑" w:hAnsi="微软雅黑" w:cs="微软雅黑"/>
          <w:color w:val="333333"/>
          <w:sz w:val="21"/>
          <w:szCs w:val="21"/>
        </w:rPr>
      </w:pPr>
      <w:r>
        <w:rPr>
          <w:noProof/>
        </w:rPr>
        <w:drawing>
          <wp:inline distT="0" distB="0" distL="114300" distR="114300">
            <wp:extent cx="5268595" cy="3286125"/>
            <wp:effectExtent l="0" t="0" r="8255" b="9525"/>
            <wp:docPr id="1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3"/>
                    <pic:cNvPicPr>
                      <a:picLocks noChangeAspect="1"/>
                    </pic:cNvPicPr>
                  </pic:nvPicPr>
                  <pic:blipFill>
                    <a:blip r:embed="rId17" cstate="print"/>
                    <a:stretch>
                      <a:fillRect/>
                    </a:stretch>
                  </pic:blipFill>
                  <pic:spPr>
                    <a:xfrm>
                      <a:off x="0" y="0"/>
                      <a:ext cx="5268595" cy="3286125"/>
                    </a:xfrm>
                    <a:prstGeom prst="rect">
                      <a:avLst/>
                    </a:prstGeom>
                    <a:noFill/>
                    <a:ln>
                      <a:noFill/>
                    </a:ln>
                  </pic:spPr>
                </pic:pic>
              </a:graphicData>
            </a:graphic>
          </wp:inline>
        </w:drawing>
      </w:r>
    </w:p>
    <w:p w:rsidR="00E41282" w:rsidRDefault="00F909DF">
      <w:pPr>
        <w:pStyle w:val="a3"/>
        <w:widowControl/>
        <w:spacing w:beforeAutospacing="0" w:afterAutospacing="0" w:line="600" w:lineRule="atLeast"/>
        <w:ind w:firstLine="645"/>
        <w:jc w:val="center"/>
        <w:rPr>
          <w:rFonts w:ascii="微软雅黑" w:eastAsia="微软雅黑" w:hAnsi="微软雅黑" w:cs="微软雅黑"/>
          <w:color w:val="333333"/>
          <w:sz w:val="21"/>
          <w:szCs w:val="21"/>
        </w:rPr>
      </w:pPr>
      <w:r>
        <w:rPr>
          <w:rStyle w:val="a4"/>
          <w:rFonts w:ascii="宋体" w:eastAsia="宋体" w:hAnsi="宋体" w:cs="宋体" w:hint="eastAsia"/>
          <w:color w:val="333333"/>
          <w:sz w:val="31"/>
          <w:szCs w:val="31"/>
        </w:rPr>
        <w:t> </w:t>
      </w:r>
    </w:p>
    <w:p w:rsidR="00E41282" w:rsidRDefault="00E41282">
      <w:pPr>
        <w:pStyle w:val="a3"/>
        <w:widowControl/>
        <w:spacing w:beforeAutospacing="0" w:afterAutospacing="0" w:line="600" w:lineRule="atLeast"/>
        <w:ind w:firstLine="645"/>
        <w:jc w:val="center"/>
        <w:rPr>
          <w:rFonts w:ascii="微软雅黑" w:eastAsia="微软雅黑" w:hAnsi="微软雅黑" w:cs="微软雅黑"/>
          <w:color w:val="333333"/>
          <w:sz w:val="21"/>
          <w:szCs w:val="21"/>
        </w:rPr>
      </w:pPr>
    </w:p>
    <w:p w:rsidR="00E41282" w:rsidRDefault="00E41282">
      <w:pPr>
        <w:pStyle w:val="a3"/>
        <w:widowControl/>
        <w:spacing w:beforeAutospacing="0" w:afterAutospacing="0" w:line="600" w:lineRule="atLeast"/>
        <w:ind w:firstLine="645"/>
        <w:jc w:val="center"/>
        <w:rPr>
          <w:rFonts w:ascii="微软雅黑" w:eastAsia="微软雅黑" w:hAnsi="微软雅黑" w:cs="微软雅黑"/>
          <w:color w:val="333333"/>
          <w:sz w:val="21"/>
          <w:szCs w:val="21"/>
        </w:rPr>
      </w:pPr>
    </w:p>
    <w:p w:rsidR="00E41282" w:rsidRDefault="00E41282">
      <w:pPr>
        <w:pStyle w:val="a3"/>
        <w:widowControl/>
        <w:spacing w:beforeAutospacing="0" w:afterAutospacing="0" w:line="600" w:lineRule="atLeast"/>
        <w:ind w:firstLine="645"/>
        <w:jc w:val="center"/>
        <w:rPr>
          <w:rFonts w:ascii="微软雅黑" w:eastAsia="微软雅黑" w:hAnsi="微软雅黑" w:cs="微软雅黑"/>
          <w:color w:val="333333"/>
          <w:sz w:val="21"/>
          <w:szCs w:val="21"/>
        </w:rPr>
      </w:pPr>
    </w:p>
    <w:p w:rsidR="00E41282" w:rsidRDefault="00E41282">
      <w:pPr>
        <w:pStyle w:val="a3"/>
        <w:widowControl/>
        <w:spacing w:beforeAutospacing="0" w:afterAutospacing="0" w:line="600" w:lineRule="atLeast"/>
        <w:ind w:firstLine="645"/>
        <w:jc w:val="center"/>
        <w:rPr>
          <w:rFonts w:ascii="微软雅黑" w:eastAsia="微软雅黑" w:hAnsi="微软雅黑" w:cs="微软雅黑"/>
          <w:color w:val="333333"/>
          <w:sz w:val="21"/>
          <w:szCs w:val="21"/>
        </w:rPr>
      </w:pPr>
    </w:p>
    <w:p w:rsidR="00E41282" w:rsidRDefault="00E41282">
      <w:pPr>
        <w:pStyle w:val="a3"/>
        <w:widowControl/>
        <w:spacing w:beforeAutospacing="0" w:afterAutospacing="0" w:line="600" w:lineRule="atLeast"/>
        <w:ind w:firstLine="645"/>
        <w:jc w:val="center"/>
        <w:rPr>
          <w:rFonts w:ascii="微软雅黑" w:eastAsia="微软雅黑" w:hAnsi="微软雅黑" w:cs="微软雅黑"/>
          <w:color w:val="333333"/>
          <w:sz w:val="21"/>
          <w:szCs w:val="21"/>
        </w:rPr>
      </w:pPr>
    </w:p>
    <w:p w:rsidR="00E41282" w:rsidRDefault="00E41282">
      <w:pPr>
        <w:pStyle w:val="a3"/>
        <w:widowControl/>
        <w:spacing w:beforeAutospacing="0" w:afterAutospacing="0" w:line="600" w:lineRule="atLeast"/>
        <w:ind w:firstLine="645"/>
        <w:jc w:val="center"/>
        <w:rPr>
          <w:rFonts w:ascii="微软雅黑" w:eastAsia="微软雅黑" w:hAnsi="微软雅黑" w:cs="微软雅黑"/>
          <w:color w:val="333333"/>
          <w:sz w:val="21"/>
          <w:szCs w:val="21"/>
        </w:rPr>
      </w:pPr>
    </w:p>
    <w:p w:rsidR="00E41282" w:rsidRDefault="00F909DF">
      <w:pPr>
        <w:pStyle w:val="a3"/>
        <w:widowControl/>
        <w:spacing w:beforeAutospacing="0" w:afterAutospacing="0" w:line="600" w:lineRule="atLeast"/>
        <w:ind w:firstLine="645"/>
        <w:jc w:val="center"/>
        <w:rPr>
          <w:rFonts w:ascii="微软雅黑" w:eastAsia="微软雅黑" w:hAnsi="微软雅黑" w:cs="微软雅黑"/>
          <w:color w:val="333333"/>
          <w:sz w:val="21"/>
          <w:szCs w:val="21"/>
        </w:rPr>
      </w:pPr>
      <w:r>
        <w:rPr>
          <w:rStyle w:val="a4"/>
          <w:rFonts w:ascii="宋体" w:eastAsia="宋体" w:hAnsi="宋体" w:cs="宋体" w:hint="eastAsia"/>
          <w:color w:val="333333"/>
          <w:sz w:val="31"/>
          <w:szCs w:val="31"/>
        </w:rPr>
        <w:t> </w:t>
      </w:r>
    </w:p>
    <w:p w:rsidR="00E41282" w:rsidRDefault="00F909DF">
      <w:pPr>
        <w:pStyle w:val="a3"/>
        <w:widowControl/>
        <w:spacing w:beforeAutospacing="0" w:afterAutospacing="0" w:line="600" w:lineRule="atLeast"/>
        <w:ind w:firstLine="645"/>
        <w:jc w:val="center"/>
        <w:rPr>
          <w:rFonts w:ascii="微软雅黑" w:eastAsia="微软雅黑" w:hAnsi="微软雅黑" w:cs="微软雅黑"/>
          <w:color w:val="333333"/>
          <w:sz w:val="21"/>
          <w:szCs w:val="21"/>
        </w:rPr>
      </w:pPr>
      <w:r>
        <w:rPr>
          <w:rStyle w:val="a4"/>
          <w:rFonts w:ascii="宋体" w:eastAsia="宋体" w:hAnsi="宋体" w:cs="宋体" w:hint="eastAsia"/>
          <w:color w:val="333333"/>
          <w:sz w:val="31"/>
          <w:szCs w:val="31"/>
        </w:rPr>
        <w:lastRenderedPageBreak/>
        <w:t>第三部分</w:t>
      </w:r>
      <w:r>
        <w:rPr>
          <w:rFonts w:ascii="宋体" w:eastAsia="宋体" w:hAnsi="宋体" w:cs="宋体" w:hint="eastAsia"/>
          <w:b/>
          <w:color w:val="333333"/>
          <w:sz w:val="31"/>
          <w:szCs w:val="31"/>
        </w:rPr>
        <w:t> </w:t>
      </w:r>
      <w:r>
        <w:rPr>
          <w:rStyle w:val="a4"/>
          <w:rFonts w:ascii="宋体" w:eastAsia="宋体" w:hAnsi="宋体" w:cs="宋体" w:hint="eastAsia"/>
          <w:color w:val="333333"/>
          <w:sz w:val="31"/>
          <w:szCs w:val="31"/>
        </w:rPr>
        <w:t> 2020年度部门决算情况说明</w:t>
      </w:r>
    </w:p>
    <w:p w:rsidR="00E41282" w:rsidRDefault="00F909DF">
      <w:pPr>
        <w:pStyle w:val="a3"/>
        <w:widowControl/>
        <w:spacing w:beforeAutospacing="0" w:afterAutospacing="0"/>
        <w:ind w:firstLine="630"/>
        <w:rPr>
          <w:rFonts w:ascii="微软雅黑" w:eastAsia="微软雅黑" w:hAnsi="微软雅黑" w:cs="微软雅黑"/>
          <w:color w:val="333333"/>
          <w:sz w:val="21"/>
          <w:szCs w:val="21"/>
        </w:rPr>
      </w:pPr>
      <w:r>
        <w:rPr>
          <w:rFonts w:ascii="Times New Roman" w:eastAsia="微软雅黑" w:hAnsi="Times New Roman"/>
          <w:color w:val="333333"/>
          <w:sz w:val="30"/>
          <w:szCs w:val="30"/>
        </w:rPr>
        <w:t> </w:t>
      </w:r>
    </w:p>
    <w:p w:rsidR="00E41282" w:rsidRDefault="00F909DF">
      <w:pPr>
        <w:pStyle w:val="a3"/>
        <w:widowControl/>
        <w:spacing w:beforeAutospacing="0" w:afterAutospacing="0"/>
        <w:ind w:firstLine="630"/>
        <w:rPr>
          <w:rFonts w:ascii="微软雅黑" w:eastAsia="微软雅黑" w:hAnsi="微软雅黑" w:cs="微软雅黑"/>
          <w:color w:val="333333"/>
          <w:sz w:val="21"/>
          <w:szCs w:val="21"/>
        </w:rPr>
      </w:pPr>
      <w:r>
        <w:rPr>
          <w:rStyle w:val="a4"/>
          <w:rFonts w:ascii="黑体" w:eastAsia="黑体" w:hAnsi="微软雅黑" w:cs="黑体" w:hint="eastAsia"/>
          <w:color w:val="333333"/>
          <w:sz w:val="30"/>
          <w:szCs w:val="30"/>
        </w:rPr>
        <w:t>一、</w:t>
      </w:r>
      <w:r>
        <w:rPr>
          <w:rFonts w:ascii="黑体" w:eastAsia="黑体" w:hAnsi="微软雅黑" w:cs="黑体" w:hint="eastAsia"/>
          <w:color w:val="333333"/>
          <w:sz w:val="30"/>
          <w:szCs w:val="30"/>
        </w:rPr>
        <w:t>收入决算情况说明</w:t>
      </w:r>
    </w:p>
    <w:p w:rsidR="00E41282" w:rsidRDefault="00F909DF">
      <w:pPr>
        <w:pStyle w:val="a3"/>
        <w:widowControl/>
        <w:spacing w:beforeAutospacing="0" w:afterAutospacing="0"/>
        <w:ind w:firstLine="600"/>
        <w:rPr>
          <w:rFonts w:ascii="微软雅黑" w:eastAsia="仿宋" w:hAnsi="微软雅黑" w:cs="微软雅黑"/>
          <w:color w:val="333333"/>
          <w:sz w:val="21"/>
          <w:szCs w:val="21"/>
        </w:rPr>
      </w:pPr>
      <w:r>
        <w:rPr>
          <w:rFonts w:ascii="仿宋" w:eastAsia="仿宋" w:hAnsi="仿宋" w:cs="仿宋"/>
          <w:color w:val="333333"/>
          <w:sz w:val="30"/>
          <w:szCs w:val="30"/>
        </w:rPr>
        <w:t>本部门20</w:t>
      </w:r>
      <w:r>
        <w:rPr>
          <w:rFonts w:ascii="仿宋" w:eastAsia="仿宋" w:hAnsi="仿宋" w:cs="仿宋" w:hint="eastAsia"/>
          <w:color w:val="333333"/>
          <w:sz w:val="30"/>
          <w:szCs w:val="30"/>
        </w:rPr>
        <w:t>20</w:t>
      </w:r>
      <w:r>
        <w:rPr>
          <w:rFonts w:ascii="仿宋" w:eastAsia="仿宋" w:hAnsi="仿宋" w:cs="仿宋"/>
          <w:color w:val="333333"/>
          <w:sz w:val="30"/>
          <w:szCs w:val="30"/>
        </w:rPr>
        <w:t>年度收入总计6</w:t>
      </w:r>
      <w:r>
        <w:rPr>
          <w:rFonts w:ascii="仿宋" w:eastAsia="仿宋" w:hAnsi="仿宋" w:cs="仿宋" w:hint="eastAsia"/>
          <w:color w:val="333333"/>
          <w:sz w:val="30"/>
          <w:szCs w:val="30"/>
        </w:rPr>
        <w:t>843.06</w:t>
      </w:r>
      <w:r>
        <w:rPr>
          <w:rFonts w:ascii="仿宋" w:eastAsia="仿宋" w:hAnsi="仿宋" w:cs="仿宋"/>
          <w:color w:val="333333"/>
          <w:sz w:val="30"/>
          <w:szCs w:val="30"/>
        </w:rPr>
        <w:t>万元，其中年初结转和结余</w:t>
      </w:r>
      <w:r>
        <w:rPr>
          <w:rFonts w:ascii="仿宋" w:eastAsia="仿宋" w:hAnsi="仿宋" w:cs="仿宋" w:hint="eastAsia"/>
          <w:color w:val="333333"/>
          <w:sz w:val="30"/>
          <w:szCs w:val="30"/>
        </w:rPr>
        <w:t>377.69</w:t>
      </w:r>
      <w:r>
        <w:rPr>
          <w:rFonts w:ascii="仿宋" w:eastAsia="仿宋" w:hAnsi="仿宋" w:cs="仿宋"/>
          <w:color w:val="333333"/>
          <w:sz w:val="30"/>
          <w:szCs w:val="30"/>
        </w:rPr>
        <w:t>万元，较201</w:t>
      </w:r>
      <w:r>
        <w:rPr>
          <w:rFonts w:ascii="仿宋" w:eastAsia="仿宋" w:hAnsi="仿宋" w:cs="仿宋" w:hint="eastAsia"/>
          <w:color w:val="333333"/>
          <w:sz w:val="30"/>
          <w:szCs w:val="30"/>
        </w:rPr>
        <w:t>9</w:t>
      </w:r>
      <w:r>
        <w:rPr>
          <w:rFonts w:ascii="仿宋" w:eastAsia="仿宋" w:hAnsi="仿宋" w:cs="仿宋"/>
          <w:color w:val="333333"/>
          <w:sz w:val="30"/>
          <w:szCs w:val="30"/>
        </w:rPr>
        <w:t>年</w:t>
      </w:r>
      <w:r>
        <w:rPr>
          <w:rFonts w:ascii="仿宋" w:eastAsia="仿宋" w:hAnsi="仿宋" w:cs="仿宋" w:hint="eastAsia"/>
          <w:color w:val="333333"/>
          <w:sz w:val="30"/>
          <w:szCs w:val="30"/>
        </w:rPr>
        <w:t>增加377.69</w:t>
      </w:r>
      <w:r>
        <w:rPr>
          <w:rFonts w:ascii="仿宋" w:eastAsia="仿宋" w:hAnsi="仿宋" w:cs="仿宋"/>
          <w:color w:val="333333"/>
          <w:sz w:val="30"/>
          <w:szCs w:val="30"/>
        </w:rPr>
        <w:t>万元，</w:t>
      </w:r>
      <w:r>
        <w:rPr>
          <w:rFonts w:ascii="仿宋" w:eastAsia="仿宋" w:hAnsi="仿宋" w:cs="仿宋" w:hint="eastAsia"/>
          <w:color w:val="333333"/>
          <w:sz w:val="30"/>
          <w:szCs w:val="30"/>
        </w:rPr>
        <w:t>增长100</w:t>
      </w:r>
      <w:r>
        <w:rPr>
          <w:rFonts w:ascii="仿宋" w:eastAsia="仿宋" w:hAnsi="仿宋" w:cs="仿宋"/>
          <w:color w:val="333333"/>
          <w:sz w:val="30"/>
          <w:szCs w:val="30"/>
        </w:rPr>
        <w:t xml:space="preserve"> %；本年收入合计</w:t>
      </w:r>
      <w:r>
        <w:rPr>
          <w:rFonts w:ascii="仿宋" w:eastAsia="仿宋" w:hAnsi="仿宋" w:cs="仿宋" w:hint="eastAsia"/>
          <w:color w:val="333333"/>
          <w:sz w:val="30"/>
          <w:szCs w:val="30"/>
        </w:rPr>
        <w:t>6465.37</w:t>
      </w:r>
      <w:r>
        <w:rPr>
          <w:rFonts w:ascii="仿宋" w:eastAsia="仿宋" w:hAnsi="仿宋" w:cs="仿宋"/>
          <w:color w:val="333333"/>
          <w:sz w:val="30"/>
          <w:szCs w:val="30"/>
        </w:rPr>
        <w:t>万元，较201</w:t>
      </w:r>
      <w:r>
        <w:rPr>
          <w:rFonts w:ascii="仿宋" w:eastAsia="仿宋" w:hAnsi="仿宋" w:cs="仿宋" w:hint="eastAsia"/>
          <w:color w:val="333333"/>
          <w:sz w:val="30"/>
          <w:szCs w:val="30"/>
        </w:rPr>
        <w:t>9</w:t>
      </w:r>
      <w:r>
        <w:rPr>
          <w:rFonts w:ascii="仿宋" w:eastAsia="仿宋" w:hAnsi="仿宋" w:cs="仿宋"/>
          <w:color w:val="333333"/>
          <w:sz w:val="30"/>
          <w:szCs w:val="30"/>
        </w:rPr>
        <w:t>年</w:t>
      </w:r>
      <w:r>
        <w:rPr>
          <w:rFonts w:ascii="仿宋" w:eastAsia="仿宋" w:hAnsi="仿宋" w:cs="仿宋" w:hint="eastAsia"/>
          <w:color w:val="333333"/>
          <w:sz w:val="30"/>
          <w:szCs w:val="30"/>
        </w:rPr>
        <w:t>增加910.07万元，增长16</w:t>
      </w:r>
      <w:r>
        <w:rPr>
          <w:rFonts w:ascii="仿宋" w:eastAsia="仿宋" w:hAnsi="仿宋" w:cs="仿宋"/>
          <w:color w:val="333333"/>
          <w:sz w:val="30"/>
          <w:szCs w:val="30"/>
        </w:rPr>
        <w:t>.</w:t>
      </w:r>
      <w:r>
        <w:rPr>
          <w:rFonts w:ascii="仿宋" w:eastAsia="仿宋" w:hAnsi="仿宋" w:cs="仿宋" w:hint="eastAsia"/>
          <w:color w:val="333333"/>
          <w:sz w:val="30"/>
          <w:szCs w:val="30"/>
        </w:rPr>
        <w:t>38</w:t>
      </w:r>
      <w:r>
        <w:rPr>
          <w:rFonts w:ascii="仿宋" w:eastAsia="仿宋" w:hAnsi="仿宋" w:cs="仿宋"/>
          <w:color w:val="333333"/>
          <w:sz w:val="30"/>
          <w:szCs w:val="30"/>
        </w:rPr>
        <w:t>%，主要原因是：</w:t>
      </w:r>
      <w:r>
        <w:rPr>
          <w:rFonts w:ascii="仿宋" w:eastAsia="仿宋" w:hAnsi="仿宋" w:cs="仿宋" w:hint="eastAsia"/>
          <w:color w:val="333333"/>
          <w:sz w:val="30"/>
          <w:szCs w:val="30"/>
        </w:rPr>
        <w:t>事业收入较2019年有较大增长。</w:t>
      </w:r>
    </w:p>
    <w:p w:rsidR="00E41282" w:rsidRDefault="00F909DF">
      <w:pPr>
        <w:pStyle w:val="a3"/>
        <w:widowControl/>
        <w:spacing w:beforeAutospacing="0" w:afterAutospacing="0"/>
        <w:ind w:firstLine="630"/>
        <w:rPr>
          <w:rFonts w:ascii="仿宋" w:eastAsia="仿宋" w:hAnsi="仿宋" w:cs="仿宋"/>
          <w:color w:val="333333"/>
          <w:sz w:val="30"/>
          <w:szCs w:val="30"/>
        </w:rPr>
      </w:pPr>
      <w:r>
        <w:rPr>
          <w:rFonts w:ascii="仿宋" w:eastAsia="仿宋" w:hAnsi="仿宋" w:cs="仿宋"/>
          <w:color w:val="333333"/>
          <w:sz w:val="30"/>
          <w:szCs w:val="30"/>
        </w:rPr>
        <w:t>本年收入的具体构成为：财政拨款收入</w:t>
      </w:r>
      <w:r>
        <w:rPr>
          <w:rFonts w:ascii="仿宋" w:eastAsia="仿宋" w:hAnsi="仿宋" w:cs="仿宋" w:hint="eastAsia"/>
          <w:color w:val="333333"/>
          <w:sz w:val="30"/>
          <w:szCs w:val="30"/>
        </w:rPr>
        <w:t>4204.10</w:t>
      </w:r>
      <w:r>
        <w:rPr>
          <w:rFonts w:ascii="仿宋" w:eastAsia="仿宋" w:hAnsi="仿宋" w:cs="仿宋"/>
          <w:color w:val="333333"/>
          <w:sz w:val="30"/>
          <w:szCs w:val="30"/>
        </w:rPr>
        <w:t>万元，占</w:t>
      </w:r>
      <w:r>
        <w:rPr>
          <w:rFonts w:ascii="仿宋" w:eastAsia="仿宋" w:hAnsi="仿宋" w:cs="仿宋" w:hint="eastAsia"/>
          <w:color w:val="333333"/>
          <w:sz w:val="30"/>
          <w:szCs w:val="30"/>
        </w:rPr>
        <w:t>65</w:t>
      </w:r>
      <w:r>
        <w:rPr>
          <w:rFonts w:ascii="仿宋" w:eastAsia="仿宋" w:hAnsi="仿宋" w:cs="仿宋"/>
          <w:color w:val="333333"/>
          <w:sz w:val="30"/>
          <w:szCs w:val="30"/>
        </w:rPr>
        <w:t>.</w:t>
      </w:r>
      <w:r>
        <w:rPr>
          <w:rFonts w:ascii="仿宋" w:eastAsia="仿宋" w:hAnsi="仿宋" w:cs="仿宋" w:hint="eastAsia"/>
          <w:color w:val="333333"/>
          <w:sz w:val="30"/>
          <w:szCs w:val="30"/>
        </w:rPr>
        <w:t>02</w:t>
      </w:r>
      <w:r>
        <w:rPr>
          <w:rFonts w:ascii="仿宋" w:eastAsia="仿宋" w:hAnsi="仿宋" w:cs="仿宋"/>
          <w:color w:val="333333"/>
          <w:sz w:val="30"/>
          <w:szCs w:val="30"/>
        </w:rPr>
        <w:t>%；事业收入</w:t>
      </w:r>
      <w:r>
        <w:rPr>
          <w:rFonts w:ascii="仿宋" w:eastAsia="仿宋" w:hAnsi="仿宋" w:cs="仿宋" w:hint="eastAsia"/>
          <w:color w:val="333333"/>
          <w:sz w:val="30"/>
          <w:szCs w:val="30"/>
        </w:rPr>
        <w:t>2002.88</w:t>
      </w:r>
      <w:r>
        <w:rPr>
          <w:rFonts w:ascii="仿宋" w:eastAsia="仿宋" w:hAnsi="仿宋" w:cs="仿宋"/>
          <w:color w:val="333333"/>
          <w:sz w:val="30"/>
          <w:szCs w:val="30"/>
        </w:rPr>
        <w:t>万元，占</w:t>
      </w:r>
      <w:r>
        <w:rPr>
          <w:rFonts w:ascii="仿宋" w:eastAsia="仿宋" w:hAnsi="仿宋" w:cs="仿宋" w:hint="eastAsia"/>
          <w:color w:val="333333"/>
          <w:sz w:val="30"/>
          <w:szCs w:val="30"/>
        </w:rPr>
        <w:t>30.98</w:t>
      </w:r>
      <w:r>
        <w:rPr>
          <w:rFonts w:ascii="仿宋" w:eastAsia="仿宋" w:hAnsi="仿宋" w:cs="仿宋"/>
          <w:color w:val="333333"/>
          <w:sz w:val="30"/>
          <w:szCs w:val="30"/>
        </w:rPr>
        <w:t>%；上级补助收入</w:t>
      </w:r>
      <w:r>
        <w:rPr>
          <w:rFonts w:ascii="仿宋" w:eastAsia="仿宋" w:hAnsi="仿宋" w:cs="仿宋" w:hint="eastAsia"/>
          <w:color w:val="333333"/>
          <w:sz w:val="30"/>
          <w:szCs w:val="30"/>
        </w:rPr>
        <w:t>258.1</w:t>
      </w:r>
      <w:r>
        <w:rPr>
          <w:rFonts w:ascii="仿宋" w:eastAsia="仿宋" w:hAnsi="仿宋" w:cs="仿宋"/>
          <w:color w:val="333333"/>
          <w:sz w:val="30"/>
          <w:szCs w:val="30"/>
        </w:rPr>
        <w:t>万元，占4%；其他收入</w:t>
      </w:r>
      <w:r>
        <w:rPr>
          <w:rFonts w:ascii="仿宋" w:eastAsia="仿宋" w:hAnsi="仿宋" w:cs="仿宋" w:hint="eastAsia"/>
          <w:color w:val="333333"/>
          <w:sz w:val="30"/>
          <w:szCs w:val="30"/>
        </w:rPr>
        <w:t>0.3</w:t>
      </w:r>
      <w:r>
        <w:rPr>
          <w:rFonts w:ascii="仿宋" w:eastAsia="仿宋" w:hAnsi="仿宋" w:cs="仿宋"/>
          <w:color w:val="333333"/>
          <w:sz w:val="30"/>
          <w:szCs w:val="30"/>
        </w:rPr>
        <w:t>万元，占0.</w:t>
      </w:r>
      <w:r>
        <w:rPr>
          <w:rFonts w:ascii="仿宋" w:eastAsia="仿宋" w:hAnsi="仿宋" w:cs="仿宋" w:hint="eastAsia"/>
          <w:color w:val="333333"/>
          <w:sz w:val="30"/>
          <w:szCs w:val="30"/>
        </w:rPr>
        <w:t>00</w:t>
      </w:r>
      <w:r>
        <w:rPr>
          <w:rFonts w:ascii="仿宋" w:eastAsia="仿宋" w:hAnsi="仿宋" w:cs="仿宋"/>
          <w:color w:val="333333"/>
          <w:sz w:val="30"/>
          <w:szCs w:val="30"/>
        </w:rPr>
        <w:t>%。</w:t>
      </w:r>
    </w:p>
    <w:p w:rsidR="00E41282" w:rsidRDefault="00F909DF">
      <w:pPr>
        <w:pStyle w:val="a3"/>
        <w:widowControl/>
        <w:spacing w:beforeAutospacing="0" w:afterAutospacing="0"/>
        <w:ind w:firstLine="630"/>
        <w:rPr>
          <w:rFonts w:ascii="微软雅黑" w:eastAsia="微软雅黑" w:hAnsi="微软雅黑" w:cs="微软雅黑"/>
          <w:color w:val="333333"/>
          <w:sz w:val="21"/>
          <w:szCs w:val="21"/>
        </w:rPr>
      </w:pPr>
      <w:r>
        <w:rPr>
          <w:rFonts w:ascii="黑体" w:eastAsia="黑体" w:hAnsi="微软雅黑" w:cs="黑体" w:hint="eastAsia"/>
          <w:color w:val="333333"/>
          <w:sz w:val="30"/>
          <w:szCs w:val="30"/>
        </w:rPr>
        <w:t>二、支出决算情况说明</w:t>
      </w:r>
    </w:p>
    <w:p w:rsidR="00E41282" w:rsidRDefault="00F909DF">
      <w:pPr>
        <w:pStyle w:val="a3"/>
        <w:widowControl/>
        <w:spacing w:beforeAutospacing="0" w:afterAutospacing="0"/>
        <w:ind w:firstLine="630"/>
        <w:rPr>
          <w:rFonts w:ascii="微软雅黑" w:eastAsia="微软雅黑" w:hAnsi="微软雅黑" w:cs="微软雅黑"/>
          <w:color w:val="333333"/>
          <w:sz w:val="21"/>
          <w:szCs w:val="21"/>
        </w:rPr>
      </w:pPr>
      <w:r>
        <w:rPr>
          <w:rFonts w:ascii="仿宋" w:eastAsia="仿宋" w:hAnsi="仿宋" w:cs="仿宋"/>
          <w:color w:val="333333"/>
          <w:sz w:val="30"/>
          <w:szCs w:val="30"/>
        </w:rPr>
        <w:t>本部门20</w:t>
      </w:r>
      <w:r>
        <w:rPr>
          <w:rFonts w:ascii="仿宋" w:eastAsia="仿宋" w:hAnsi="仿宋" w:cs="仿宋" w:hint="eastAsia"/>
          <w:color w:val="333333"/>
          <w:sz w:val="30"/>
          <w:szCs w:val="30"/>
        </w:rPr>
        <w:t>20</w:t>
      </w:r>
      <w:r>
        <w:rPr>
          <w:rFonts w:ascii="仿宋" w:eastAsia="仿宋" w:hAnsi="仿宋" w:cs="仿宋"/>
          <w:color w:val="333333"/>
          <w:sz w:val="30"/>
          <w:szCs w:val="30"/>
        </w:rPr>
        <w:t>年度支出总计6</w:t>
      </w:r>
      <w:r>
        <w:rPr>
          <w:rFonts w:ascii="仿宋" w:eastAsia="仿宋" w:hAnsi="仿宋" w:cs="仿宋" w:hint="eastAsia"/>
          <w:color w:val="333333"/>
          <w:sz w:val="30"/>
          <w:szCs w:val="30"/>
        </w:rPr>
        <w:t>843</w:t>
      </w:r>
      <w:r>
        <w:rPr>
          <w:rFonts w:ascii="仿宋" w:eastAsia="仿宋" w:hAnsi="仿宋" w:cs="仿宋"/>
          <w:color w:val="333333"/>
          <w:sz w:val="30"/>
          <w:szCs w:val="30"/>
        </w:rPr>
        <w:t>.</w:t>
      </w:r>
      <w:r>
        <w:rPr>
          <w:rFonts w:ascii="仿宋" w:eastAsia="仿宋" w:hAnsi="仿宋" w:cs="仿宋" w:hint="eastAsia"/>
          <w:color w:val="333333"/>
          <w:sz w:val="30"/>
          <w:szCs w:val="30"/>
        </w:rPr>
        <w:t>06</w:t>
      </w:r>
      <w:r>
        <w:rPr>
          <w:rFonts w:ascii="仿宋" w:eastAsia="仿宋" w:hAnsi="仿宋" w:cs="仿宋"/>
          <w:color w:val="333333"/>
          <w:sz w:val="30"/>
          <w:szCs w:val="30"/>
        </w:rPr>
        <w:t>万元，其中本年支出合计   </w:t>
      </w:r>
      <w:r>
        <w:rPr>
          <w:rFonts w:ascii="仿宋" w:eastAsia="仿宋" w:hAnsi="仿宋" w:cs="仿宋" w:hint="eastAsia"/>
          <w:color w:val="333333"/>
          <w:sz w:val="30"/>
          <w:szCs w:val="30"/>
        </w:rPr>
        <w:t>6717.06</w:t>
      </w:r>
      <w:r>
        <w:rPr>
          <w:rFonts w:ascii="仿宋" w:eastAsia="仿宋" w:hAnsi="仿宋" w:cs="仿宋"/>
          <w:color w:val="333333"/>
          <w:sz w:val="30"/>
          <w:szCs w:val="30"/>
        </w:rPr>
        <w:t>万元，较201</w:t>
      </w:r>
      <w:r>
        <w:rPr>
          <w:rFonts w:ascii="仿宋" w:eastAsia="仿宋" w:hAnsi="仿宋" w:cs="仿宋" w:hint="eastAsia"/>
          <w:color w:val="333333"/>
          <w:sz w:val="30"/>
          <w:szCs w:val="30"/>
        </w:rPr>
        <w:t>9</w:t>
      </w:r>
      <w:r>
        <w:rPr>
          <w:rFonts w:ascii="仿宋" w:eastAsia="仿宋" w:hAnsi="仿宋" w:cs="仿宋"/>
          <w:color w:val="333333"/>
          <w:sz w:val="30"/>
          <w:szCs w:val="30"/>
        </w:rPr>
        <w:t>年增加</w:t>
      </w:r>
      <w:r>
        <w:rPr>
          <w:rFonts w:ascii="仿宋" w:eastAsia="仿宋" w:hAnsi="仿宋" w:cs="仿宋" w:hint="eastAsia"/>
          <w:color w:val="333333"/>
          <w:sz w:val="30"/>
          <w:szCs w:val="30"/>
        </w:rPr>
        <w:t>648</w:t>
      </w:r>
      <w:r>
        <w:rPr>
          <w:rFonts w:ascii="仿宋" w:eastAsia="仿宋" w:hAnsi="仿宋" w:cs="仿宋"/>
          <w:color w:val="333333"/>
          <w:sz w:val="30"/>
          <w:szCs w:val="30"/>
        </w:rPr>
        <w:t>.</w:t>
      </w:r>
      <w:r>
        <w:rPr>
          <w:rFonts w:ascii="仿宋" w:eastAsia="仿宋" w:hAnsi="仿宋" w:cs="仿宋" w:hint="eastAsia"/>
          <w:color w:val="333333"/>
          <w:sz w:val="30"/>
          <w:szCs w:val="30"/>
        </w:rPr>
        <w:t>05</w:t>
      </w:r>
      <w:r>
        <w:rPr>
          <w:rFonts w:ascii="仿宋" w:eastAsia="仿宋" w:hAnsi="仿宋" w:cs="仿宋"/>
          <w:color w:val="333333"/>
          <w:sz w:val="30"/>
          <w:szCs w:val="30"/>
        </w:rPr>
        <w:t>万元，增长1</w:t>
      </w:r>
      <w:r>
        <w:rPr>
          <w:rFonts w:ascii="仿宋" w:eastAsia="仿宋" w:hAnsi="仿宋" w:cs="仿宋" w:hint="eastAsia"/>
          <w:color w:val="333333"/>
          <w:sz w:val="30"/>
          <w:szCs w:val="30"/>
        </w:rPr>
        <w:t>0</w:t>
      </w:r>
      <w:r>
        <w:rPr>
          <w:rFonts w:ascii="仿宋" w:eastAsia="仿宋" w:hAnsi="仿宋" w:cs="仿宋"/>
          <w:color w:val="333333"/>
          <w:sz w:val="30"/>
          <w:szCs w:val="30"/>
        </w:rPr>
        <w:t>.6</w:t>
      </w:r>
      <w:r>
        <w:rPr>
          <w:rFonts w:ascii="仿宋" w:eastAsia="仿宋" w:hAnsi="仿宋" w:cs="仿宋" w:hint="eastAsia"/>
          <w:color w:val="333333"/>
          <w:sz w:val="30"/>
          <w:szCs w:val="30"/>
        </w:rPr>
        <w:t>8</w:t>
      </w:r>
      <w:r>
        <w:rPr>
          <w:rFonts w:ascii="仿宋" w:eastAsia="仿宋" w:hAnsi="仿宋" w:cs="仿宋"/>
          <w:color w:val="333333"/>
          <w:sz w:val="30"/>
          <w:szCs w:val="30"/>
        </w:rPr>
        <w:t>%，主要原因是：有些去年的奖金在今年才发；年末结转和结余</w:t>
      </w:r>
      <w:r>
        <w:rPr>
          <w:rFonts w:ascii="仿宋" w:eastAsia="仿宋" w:hAnsi="仿宋" w:cs="仿宋" w:hint="eastAsia"/>
          <w:color w:val="333333"/>
          <w:sz w:val="30"/>
          <w:szCs w:val="30"/>
        </w:rPr>
        <w:t>126</w:t>
      </w:r>
      <w:r>
        <w:rPr>
          <w:rFonts w:ascii="仿宋" w:eastAsia="仿宋" w:hAnsi="仿宋" w:cs="仿宋"/>
          <w:color w:val="333333"/>
          <w:sz w:val="30"/>
          <w:szCs w:val="30"/>
        </w:rPr>
        <w:t>万元，较201</w:t>
      </w:r>
      <w:r>
        <w:rPr>
          <w:rFonts w:ascii="仿宋" w:eastAsia="仿宋" w:hAnsi="仿宋" w:cs="仿宋" w:hint="eastAsia"/>
          <w:color w:val="333333"/>
          <w:sz w:val="30"/>
          <w:szCs w:val="30"/>
        </w:rPr>
        <w:t>9</w:t>
      </w:r>
      <w:r>
        <w:rPr>
          <w:rFonts w:ascii="仿宋" w:eastAsia="仿宋" w:hAnsi="仿宋" w:cs="仿宋"/>
          <w:color w:val="333333"/>
          <w:sz w:val="30"/>
          <w:szCs w:val="30"/>
        </w:rPr>
        <w:t>年减少</w:t>
      </w:r>
      <w:r>
        <w:rPr>
          <w:rFonts w:ascii="仿宋" w:eastAsia="仿宋" w:hAnsi="仿宋" w:cs="仿宋" w:hint="eastAsia"/>
          <w:color w:val="333333"/>
          <w:sz w:val="30"/>
          <w:szCs w:val="30"/>
        </w:rPr>
        <w:t>251</w:t>
      </w:r>
      <w:r>
        <w:rPr>
          <w:rFonts w:ascii="仿宋" w:eastAsia="仿宋" w:hAnsi="仿宋" w:cs="仿宋"/>
          <w:color w:val="333333"/>
          <w:sz w:val="30"/>
          <w:szCs w:val="30"/>
        </w:rPr>
        <w:t>.</w:t>
      </w:r>
      <w:r>
        <w:rPr>
          <w:rFonts w:ascii="仿宋" w:eastAsia="仿宋" w:hAnsi="仿宋" w:cs="仿宋" w:hint="eastAsia"/>
          <w:color w:val="333333"/>
          <w:sz w:val="30"/>
          <w:szCs w:val="30"/>
        </w:rPr>
        <w:t>69</w:t>
      </w:r>
      <w:r>
        <w:rPr>
          <w:rFonts w:ascii="仿宋" w:eastAsia="仿宋" w:hAnsi="仿宋" w:cs="仿宋"/>
          <w:color w:val="333333"/>
          <w:sz w:val="30"/>
          <w:szCs w:val="30"/>
        </w:rPr>
        <w:t>万元，下降</w:t>
      </w:r>
      <w:r>
        <w:rPr>
          <w:rFonts w:ascii="仿宋" w:eastAsia="仿宋" w:hAnsi="仿宋" w:cs="仿宋" w:hint="eastAsia"/>
          <w:color w:val="333333"/>
          <w:sz w:val="30"/>
          <w:szCs w:val="30"/>
        </w:rPr>
        <w:t>66</w:t>
      </w:r>
      <w:r>
        <w:rPr>
          <w:rFonts w:ascii="仿宋" w:eastAsia="仿宋" w:hAnsi="仿宋" w:cs="仿宋"/>
          <w:color w:val="333333"/>
          <w:sz w:val="30"/>
          <w:szCs w:val="30"/>
        </w:rPr>
        <w:t>.6</w:t>
      </w:r>
      <w:r>
        <w:rPr>
          <w:rFonts w:ascii="仿宋" w:eastAsia="仿宋" w:hAnsi="仿宋" w:cs="仿宋" w:hint="eastAsia"/>
          <w:color w:val="333333"/>
          <w:sz w:val="30"/>
          <w:szCs w:val="30"/>
        </w:rPr>
        <w:t>4</w:t>
      </w:r>
      <w:r>
        <w:rPr>
          <w:rFonts w:ascii="仿宋" w:eastAsia="仿宋" w:hAnsi="仿宋" w:cs="仿宋"/>
          <w:color w:val="333333"/>
          <w:sz w:val="30"/>
          <w:szCs w:val="30"/>
        </w:rPr>
        <w:t>%，主要原因是：日常支出增加。</w:t>
      </w:r>
    </w:p>
    <w:p w:rsidR="00E41282" w:rsidRDefault="00F909DF">
      <w:pPr>
        <w:pStyle w:val="a3"/>
        <w:widowControl/>
        <w:spacing w:beforeAutospacing="0" w:afterAutospacing="0"/>
        <w:ind w:firstLine="630"/>
        <w:rPr>
          <w:rFonts w:ascii="仿宋" w:eastAsia="仿宋" w:hAnsi="仿宋" w:cs="仿宋"/>
          <w:color w:val="333333"/>
          <w:sz w:val="30"/>
          <w:szCs w:val="30"/>
        </w:rPr>
      </w:pPr>
      <w:r>
        <w:rPr>
          <w:rFonts w:ascii="仿宋" w:eastAsia="仿宋" w:hAnsi="仿宋" w:cs="仿宋"/>
          <w:color w:val="333333"/>
          <w:sz w:val="30"/>
          <w:szCs w:val="30"/>
        </w:rPr>
        <w:t>本年支出的具体构成为：基本支出</w:t>
      </w:r>
      <w:r>
        <w:rPr>
          <w:rFonts w:ascii="仿宋" w:eastAsia="仿宋" w:hAnsi="仿宋" w:cs="仿宋" w:hint="eastAsia"/>
          <w:color w:val="333333"/>
          <w:sz w:val="30"/>
          <w:szCs w:val="30"/>
        </w:rPr>
        <w:t>4455.79</w:t>
      </w:r>
      <w:r>
        <w:rPr>
          <w:rFonts w:ascii="仿宋" w:eastAsia="仿宋" w:hAnsi="仿宋" w:cs="仿宋"/>
          <w:color w:val="333333"/>
          <w:sz w:val="30"/>
          <w:szCs w:val="30"/>
        </w:rPr>
        <w:t>万元，占</w:t>
      </w:r>
      <w:r>
        <w:rPr>
          <w:rFonts w:ascii="仿宋" w:eastAsia="仿宋" w:hAnsi="仿宋" w:cs="仿宋" w:hint="eastAsia"/>
          <w:color w:val="333333"/>
          <w:sz w:val="30"/>
          <w:szCs w:val="30"/>
        </w:rPr>
        <w:t>66.34</w:t>
      </w:r>
      <w:r>
        <w:rPr>
          <w:rFonts w:ascii="仿宋" w:eastAsia="仿宋" w:hAnsi="仿宋" w:cs="仿宋"/>
          <w:color w:val="333333"/>
          <w:sz w:val="30"/>
          <w:szCs w:val="30"/>
        </w:rPr>
        <w:t>%；项目支出</w:t>
      </w:r>
      <w:r>
        <w:rPr>
          <w:rFonts w:ascii="仿宋" w:eastAsia="仿宋" w:hAnsi="仿宋" w:cs="仿宋" w:hint="eastAsia"/>
          <w:color w:val="333333"/>
          <w:sz w:val="30"/>
          <w:szCs w:val="30"/>
        </w:rPr>
        <w:t>2261.27</w:t>
      </w:r>
      <w:r>
        <w:rPr>
          <w:rFonts w:ascii="仿宋" w:eastAsia="仿宋" w:hAnsi="仿宋" w:cs="仿宋"/>
          <w:color w:val="333333"/>
          <w:sz w:val="30"/>
          <w:szCs w:val="30"/>
        </w:rPr>
        <w:t>万元，占</w:t>
      </w:r>
      <w:r>
        <w:rPr>
          <w:rFonts w:ascii="仿宋" w:eastAsia="仿宋" w:hAnsi="仿宋" w:cs="仿宋" w:hint="eastAsia"/>
          <w:color w:val="333333"/>
          <w:sz w:val="30"/>
          <w:szCs w:val="30"/>
        </w:rPr>
        <w:t>33</w:t>
      </w:r>
      <w:r>
        <w:rPr>
          <w:rFonts w:ascii="仿宋" w:eastAsia="仿宋" w:hAnsi="仿宋" w:cs="仿宋"/>
          <w:color w:val="333333"/>
          <w:sz w:val="30"/>
          <w:szCs w:val="30"/>
        </w:rPr>
        <w:t>.</w:t>
      </w:r>
      <w:r>
        <w:rPr>
          <w:rFonts w:ascii="仿宋" w:eastAsia="仿宋" w:hAnsi="仿宋" w:cs="仿宋" w:hint="eastAsia"/>
          <w:color w:val="333333"/>
          <w:sz w:val="30"/>
          <w:szCs w:val="30"/>
        </w:rPr>
        <w:t>66</w:t>
      </w:r>
      <w:r>
        <w:rPr>
          <w:rFonts w:ascii="仿宋" w:eastAsia="仿宋" w:hAnsi="仿宋" w:cs="仿宋"/>
          <w:color w:val="333333"/>
          <w:sz w:val="30"/>
          <w:szCs w:val="30"/>
        </w:rPr>
        <w:t>%；经营支出 0万元，占 0%；其他支出（对附属单位补助支出、上缴上级支出）0万元，占0%。  </w:t>
      </w:r>
    </w:p>
    <w:p w:rsidR="00E41282" w:rsidRDefault="00F909DF">
      <w:pPr>
        <w:pStyle w:val="a3"/>
        <w:widowControl/>
        <w:spacing w:beforeAutospacing="0" w:afterAutospacing="0" w:line="480" w:lineRule="atLeast"/>
        <w:ind w:firstLine="630"/>
        <w:rPr>
          <w:rFonts w:ascii="微软雅黑" w:eastAsia="微软雅黑" w:hAnsi="微软雅黑" w:cs="微软雅黑"/>
          <w:color w:val="333333"/>
          <w:sz w:val="21"/>
          <w:szCs w:val="21"/>
        </w:rPr>
      </w:pPr>
      <w:r>
        <w:rPr>
          <w:rFonts w:ascii="黑体" w:eastAsia="黑体" w:hAnsi="微软雅黑" w:cs="黑体" w:hint="eastAsia"/>
          <w:color w:val="333333"/>
          <w:sz w:val="30"/>
          <w:szCs w:val="30"/>
        </w:rPr>
        <w:t>三、财政拨款收入支出决算总体情况说明</w:t>
      </w:r>
    </w:p>
    <w:p w:rsidR="00E41282" w:rsidRPr="001F5AD3" w:rsidRDefault="00F909DF">
      <w:pPr>
        <w:jc w:val="left"/>
        <w:rPr>
          <w:rFonts w:ascii="微软雅黑" w:eastAsia="微软雅黑" w:hAnsi="微软雅黑" w:cs="微软雅黑"/>
          <w:color w:val="FF0000"/>
          <w:szCs w:val="21"/>
        </w:rPr>
      </w:pPr>
      <w:r w:rsidRPr="001F5AD3">
        <w:rPr>
          <w:rFonts w:ascii="仿宋" w:eastAsia="仿宋" w:hAnsi="仿宋" w:cs="仿宋"/>
          <w:color w:val="FF0000"/>
          <w:sz w:val="30"/>
          <w:szCs w:val="30"/>
        </w:rPr>
        <w:t> </w:t>
      </w:r>
      <w:r w:rsidR="009D20B7">
        <w:rPr>
          <w:rFonts w:ascii="仿宋" w:eastAsia="仿宋" w:hAnsi="仿宋" w:cs="仿宋" w:hint="eastAsia"/>
          <w:color w:val="FF0000"/>
          <w:sz w:val="30"/>
          <w:szCs w:val="30"/>
        </w:rPr>
        <w:t xml:space="preserve">  </w:t>
      </w:r>
      <w:r w:rsidR="001F5AD3" w:rsidRPr="009D20B7">
        <w:rPr>
          <w:rFonts w:ascii="仿宋" w:eastAsia="仿宋" w:hAnsi="仿宋" w:hint="eastAsia"/>
          <w:sz w:val="30"/>
          <w:szCs w:val="30"/>
        </w:rPr>
        <w:t>2020年度财政拨款收入</w:t>
      </w:r>
      <w:r w:rsidR="009D20B7" w:rsidRPr="009D20B7">
        <w:rPr>
          <w:rFonts w:ascii="仿宋" w:eastAsia="仿宋" w:hAnsi="仿宋" w:hint="eastAsia"/>
          <w:sz w:val="30"/>
          <w:szCs w:val="30"/>
        </w:rPr>
        <w:t>4204.1</w:t>
      </w:r>
      <w:r w:rsidR="001F5AD3" w:rsidRPr="009D20B7">
        <w:rPr>
          <w:rFonts w:ascii="仿宋" w:eastAsia="仿宋" w:hAnsi="仿宋" w:hint="eastAsia"/>
          <w:sz w:val="30"/>
          <w:szCs w:val="30"/>
        </w:rPr>
        <w:t>万元，与2019年相比，财</w:t>
      </w:r>
      <w:r w:rsidR="001F5AD3" w:rsidRPr="009D20B7">
        <w:rPr>
          <w:rFonts w:ascii="仿宋" w:eastAsia="仿宋" w:hAnsi="仿宋" w:hint="eastAsia"/>
          <w:sz w:val="30"/>
          <w:szCs w:val="30"/>
        </w:rPr>
        <w:lastRenderedPageBreak/>
        <w:t>政拨款收入减少</w:t>
      </w:r>
      <w:r w:rsidR="009D20B7" w:rsidRPr="009D20B7">
        <w:rPr>
          <w:rFonts w:ascii="仿宋" w:eastAsia="仿宋" w:hAnsi="仿宋" w:hint="eastAsia"/>
          <w:sz w:val="30"/>
          <w:szCs w:val="30"/>
        </w:rPr>
        <w:t>264.12</w:t>
      </w:r>
      <w:r w:rsidR="001F5AD3" w:rsidRPr="009D20B7">
        <w:rPr>
          <w:rFonts w:ascii="仿宋" w:eastAsia="仿宋" w:hAnsi="仿宋" w:hint="eastAsia"/>
          <w:sz w:val="30"/>
          <w:szCs w:val="30"/>
        </w:rPr>
        <w:t>万元，下降</w:t>
      </w:r>
      <w:r w:rsidR="009D20B7" w:rsidRPr="009D20B7">
        <w:rPr>
          <w:rFonts w:ascii="仿宋" w:eastAsia="仿宋" w:hAnsi="仿宋" w:hint="eastAsia"/>
          <w:sz w:val="30"/>
          <w:szCs w:val="30"/>
        </w:rPr>
        <w:t>5.91</w:t>
      </w:r>
      <w:r w:rsidR="001F5AD3" w:rsidRPr="009D20B7">
        <w:rPr>
          <w:rFonts w:ascii="仿宋" w:eastAsia="仿宋" w:hAnsi="仿宋" w:hint="eastAsia"/>
          <w:sz w:val="30"/>
          <w:szCs w:val="30"/>
        </w:rPr>
        <w:t>%。</w:t>
      </w:r>
      <w:r>
        <w:rPr>
          <w:rFonts w:ascii="仿宋" w:eastAsia="仿宋" w:hAnsi="仿宋" w:hint="eastAsia"/>
          <w:sz w:val="30"/>
          <w:szCs w:val="30"/>
        </w:rPr>
        <w:t>2020年度财政拨款支出4455.79万元，占本年支出合计的66.34%，与2019年相比，财政拨款支出减少526.15 万元，下降10.56 %。</w:t>
      </w:r>
    </w:p>
    <w:p w:rsidR="00E41282" w:rsidRDefault="00F909DF">
      <w:pPr>
        <w:pStyle w:val="a3"/>
        <w:widowControl/>
        <w:numPr>
          <w:ilvl w:val="0"/>
          <w:numId w:val="2"/>
        </w:numPr>
        <w:spacing w:beforeAutospacing="0" w:afterAutospacing="0" w:line="480" w:lineRule="atLeast"/>
        <w:ind w:firstLine="630"/>
        <w:rPr>
          <w:rFonts w:ascii="黑体" w:eastAsia="黑体" w:hAnsi="微软雅黑" w:cs="黑体"/>
          <w:color w:val="333333"/>
          <w:sz w:val="30"/>
          <w:szCs w:val="30"/>
        </w:rPr>
      </w:pPr>
      <w:r>
        <w:rPr>
          <w:rFonts w:ascii="黑体" w:eastAsia="黑体" w:hAnsi="微软雅黑" w:cs="黑体" w:hint="eastAsia"/>
          <w:color w:val="333333"/>
          <w:sz w:val="30"/>
          <w:szCs w:val="30"/>
        </w:rPr>
        <w:t>一般公共预算财政拨款支出决算情况说明</w:t>
      </w:r>
    </w:p>
    <w:p w:rsidR="00E41282" w:rsidRDefault="00F909DF">
      <w:pPr>
        <w:numPr>
          <w:ilvl w:val="0"/>
          <w:numId w:val="3"/>
        </w:numPr>
        <w:ind w:firstLineChars="200" w:firstLine="602"/>
        <w:jc w:val="left"/>
        <w:rPr>
          <w:rFonts w:ascii="仿宋" w:eastAsia="仿宋" w:hAnsi="仿宋" w:cs="仿宋"/>
          <w:b/>
          <w:bCs/>
          <w:sz w:val="30"/>
          <w:szCs w:val="30"/>
        </w:rPr>
      </w:pPr>
      <w:r>
        <w:rPr>
          <w:rFonts w:ascii="仿宋" w:eastAsia="仿宋" w:hAnsi="仿宋" w:cs="仿宋" w:hint="eastAsia"/>
          <w:b/>
          <w:bCs/>
          <w:sz w:val="30"/>
          <w:szCs w:val="30"/>
        </w:rPr>
        <w:t>一般公共预算财政拨款支出决算总体情况</w:t>
      </w:r>
    </w:p>
    <w:p w:rsidR="00E41282" w:rsidRDefault="00F909DF">
      <w:pPr>
        <w:ind w:firstLineChars="213" w:firstLine="639"/>
        <w:jc w:val="left"/>
        <w:rPr>
          <w:rFonts w:ascii="仿宋" w:eastAsia="仿宋" w:hAnsi="仿宋" w:cs="仿宋"/>
          <w:sz w:val="30"/>
          <w:szCs w:val="30"/>
        </w:rPr>
      </w:pPr>
      <w:r>
        <w:rPr>
          <w:rFonts w:ascii="仿宋" w:eastAsia="仿宋" w:hAnsi="仿宋" w:cs="仿宋" w:hint="eastAsia"/>
          <w:sz w:val="30"/>
          <w:szCs w:val="30"/>
        </w:rPr>
        <w:t>2020年度财政拨款支出4455.79万元，占本年支出合计的66.34%，与2019年相比，财政拨款支出减少526.15万元，下降10.56%。</w:t>
      </w:r>
    </w:p>
    <w:p w:rsidR="00E41282" w:rsidRDefault="00F909DF">
      <w:pPr>
        <w:ind w:firstLineChars="200" w:firstLine="602"/>
        <w:jc w:val="left"/>
        <w:rPr>
          <w:rFonts w:ascii="仿宋" w:eastAsia="仿宋" w:hAnsi="仿宋" w:cs="仿宋"/>
          <w:b/>
          <w:bCs/>
          <w:sz w:val="30"/>
          <w:szCs w:val="30"/>
        </w:rPr>
      </w:pPr>
      <w:r>
        <w:rPr>
          <w:rFonts w:ascii="仿宋" w:eastAsia="仿宋" w:hAnsi="仿宋" w:cs="仿宋" w:hint="eastAsia"/>
          <w:b/>
          <w:bCs/>
          <w:sz w:val="30"/>
          <w:szCs w:val="30"/>
        </w:rPr>
        <w:t>（二）一般公共预算财政拨款支出决算结构情况</w:t>
      </w:r>
    </w:p>
    <w:p w:rsidR="00E41282" w:rsidRDefault="00F909DF">
      <w:pPr>
        <w:ind w:firstLineChars="200" w:firstLine="600"/>
        <w:jc w:val="left"/>
        <w:rPr>
          <w:rFonts w:ascii="仿宋" w:eastAsia="仿宋" w:hAnsi="仿宋"/>
          <w:sz w:val="30"/>
          <w:szCs w:val="30"/>
        </w:rPr>
      </w:pPr>
      <w:r>
        <w:rPr>
          <w:rFonts w:ascii="仿宋" w:eastAsia="仿宋" w:hAnsi="仿宋" w:hint="eastAsia"/>
          <w:sz w:val="30"/>
          <w:szCs w:val="30"/>
        </w:rPr>
        <w:t>2020年度财政拨款支出主要用于以下方面：一般公共服务支出0万元，占0%；国防支出0万元，占0 %；公共安全支出0 万元,占0%；教育支出4373.13万元，占98.14%；科学技术支出  0万元，占0 %;文化旅游体育与传媒支出0万元，占0 %；社会保障和就业支出74.65万元，占1.68 %；卫生健康支出0万元，占0 %；节能环保支出8万元，占0.18%；城乡社区支出 0万元，占0 %；农林水支出 0万元，占0 %；交通运输支出0万元，占0%；资源勘探工业信息等支出0万元，占0%；商业服务业等支出0万元，占0 %；金融支出0万元，占0 %；自然资源海洋气象等支出 0万元，占0 %；住房保障支出0万元，占0 %；灾害防治及应急管理支出0 万元，占0%；其他支出 0万元，占0 %。</w:t>
      </w:r>
    </w:p>
    <w:p w:rsidR="00E41282" w:rsidRDefault="00F909DF">
      <w:pPr>
        <w:ind w:firstLineChars="200" w:firstLine="602"/>
        <w:jc w:val="left"/>
        <w:rPr>
          <w:rFonts w:ascii="仿宋" w:eastAsia="仿宋" w:hAnsi="仿宋" w:cs="仿宋"/>
          <w:b/>
          <w:bCs/>
          <w:sz w:val="30"/>
          <w:szCs w:val="30"/>
        </w:rPr>
      </w:pPr>
      <w:r>
        <w:rPr>
          <w:rFonts w:ascii="仿宋" w:eastAsia="仿宋" w:hAnsi="仿宋" w:cs="仿宋" w:hint="eastAsia"/>
          <w:b/>
          <w:bCs/>
          <w:sz w:val="30"/>
          <w:szCs w:val="30"/>
        </w:rPr>
        <w:t>（三）财政拨款支出决算具体情况</w:t>
      </w:r>
    </w:p>
    <w:p w:rsidR="00E41282" w:rsidRDefault="00F909DF">
      <w:pPr>
        <w:pStyle w:val="a3"/>
        <w:widowControl/>
        <w:spacing w:beforeAutospacing="0" w:afterAutospacing="0" w:line="480" w:lineRule="atLeast"/>
        <w:ind w:firstLine="630"/>
        <w:rPr>
          <w:rFonts w:ascii="Arial" w:eastAsia="仿宋" w:hAnsi="Arial" w:cs="Arial"/>
          <w:sz w:val="30"/>
          <w:szCs w:val="30"/>
        </w:rPr>
      </w:pPr>
      <w:r>
        <w:rPr>
          <w:rFonts w:ascii="仿宋" w:eastAsia="仿宋" w:hAnsi="仿宋" w:hint="eastAsia"/>
          <w:sz w:val="30"/>
          <w:szCs w:val="30"/>
        </w:rPr>
        <w:lastRenderedPageBreak/>
        <w:t>本部门2020年度财政拨款本年支出年初预算数为4394.28   万元，支出决算数为4455.79万元，完成年初预算的101.4%，与年初预算安排数的差额主要是：</w:t>
      </w:r>
      <w:r>
        <w:rPr>
          <w:rFonts w:ascii="仿宋" w:eastAsia="仿宋" w:hAnsi="仿宋" w:cs="仿宋" w:hint="eastAsia"/>
          <w:color w:val="333333"/>
          <w:sz w:val="30"/>
          <w:szCs w:val="30"/>
        </w:rPr>
        <w:t>2020年度增加了机关事业单位职业年金缴费支出和死亡抚恤金的支出，增加了节能环保方面的开支。</w:t>
      </w:r>
      <w:r>
        <w:rPr>
          <w:rFonts w:ascii="Arial" w:eastAsia="仿宋" w:hAnsi="Arial" w:cs="Arial" w:hint="eastAsia"/>
          <w:sz w:val="30"/>
          <w:szCs w:val="30"/>
        </w:rPr>
        <w:t>其中：</w:t>
      </w:r>
    </w:p>
    <w:p w:rsidR="00E41282" w:rsidRPr="00536AAC" w:rsidRDefault="00F909DF">
      <w:pPr>
        <w:pStyle w:val="a3"/>
        <w:widowControl/>
        <w:spacing w:beforeAutospacing="0" w:afterAutospacing="0" w:line="480" w:lineRule="atLeast"/>
        <w:ind w:firstLine="630"/>
        <w:rPr>
          <w:rFonts w:ascii="仿宋" w:eastAsia="仿宋" w:hAnsi="仿宋" w:cs="仿宋"/>
          <w:sz w:val="30"/>
          <w:szCs w:val="30"/>
        </w:rPr>
      </w:pPr>
      <w:r w:rsidRPr="00536AAC">
        <w:rPr>
          <w:rFonts w:ascii="仿宋" w:eastAsia="仿宋" w:hAnsi="仿宋" w:cs="仿宋" w:hint="eastAsia"/>
          <w:sz w:val="30"/>
          <w:szCs w:val="30"/>
        </w:rPr>
        <w:t>（一）教育支出年初预算数为4394.28万元，决算数为4373.13万元，完成年初预算的100.48%</w:t>
      </w:r>
      <w:r w:rsidR="001D7D97" w:rsidRPr="00536AAC">
        <w:rPr>
          <w:rFonts w:ascii="仿宋" w:eastAsia="仿宋" w:hAnsi="仿宋" w:cs="仿宋" w:hint="eastAsia"/>
          <w:sz w:val="30"/>
          <w:szCs w:val="30"/>
        </w:rPr>
        <w:t>。其中，初中教育支出76.86万元，</w:t>
      </w:r>
      <w:r w:rsidR="00BA0610" w:rsidRPr="00536AAC">
        <w:rPr>
          <w:rFonts w:ascii="仿宋" w:eastAsia="仿宋" w:hAnsi="仿宋" w:cs="仿宋" w:hint="eastAsia"/>
          <w:sz w:val="30"/>
          <w:szCs w:val="30"/>
        </w:rPr>
        <w:t>较2019年度的25.15万元增加了51.71万元；</w:t>
      </w:r>
      <w:r w:rsidR="001D7D97" w:rsidRPr="00536AAC">
        <w:rPr>
          <w:rFonts w:ascii="仿宋" w:eastAsia="仿宋" w:hAnsi="仿宋" w:cs="仿宋" w:hint="eastAsia"/>
          <w:sz w:val="30"/>
          <w:szCs w:val="30"/>
        </w:rPr>
        <w:t>高中教育支出4296.27</w:t>
      </w:r>
      <w:r w:rsidR="00BA0610" w:rsidRPr="00536AAC">
        <w:rPr>
          <w:rFonts w:ascii="仿宋" w:eastAsia="仿宋" w:hAnsi="仿宋" w:cs="仿宋" w:hint="eastAsia"/>
          <w:sz w:val="30"/>
          <w:szCs w:val="30"/>
        </w:rPr>
        <w:t>万元，较2019年度的4911.99万元，减少了615.72万元。</w:t>
      </w:r>
      <w:r w:rsidR="007B3344" w:rsidRPr="00536AAC">
        <w:rPr>
          <w:rFonts w:ascii="仿宋" w:eastAsia="仿宋" w:hAnsi="仿宋" w:cs="仿宋" w:hint="eastAsia"/>
          <w:sz w:val="30"/>
          <w:szCs w:val="30"/>
        </w:rPr>
        <w:t>主要原因：2020年度学生生源数较2019年度有所减少</w:t>
      </w:r>
      <w:r w:rsidR="00AF0591" w:rsidRPr="00536AAC">
        <w:rPr>
          <w:rFonts w:ascii="仿宋" w:eastAsia="仿宋" w:hAnsi="仿宋" w:cs="仿宋" w:hint="eastAsia"/>
          <w:sz w:val="30"/>
          <w:szCs w:val="30"/>
        </w:rPr>
        <w:t>。</w:t>
      </w:r>
    </w:p>
    <w:p w:rsidR="00E41282" w:rsidRPr="00536AAC" w:rsidRDefault="00F909DF">
      <w:pPr>
        <w:pStyle w:val="a3"/>
        <w:widowControl/>
        <w:spacing w:beforeAutospacing="0" w:afterAutospacing="0" w:line="480" w:lineRule="atLeast"/>
        <w:ind w:firstLine="630"/>
        <w:rPr>
          <w:rFonts w:ascii="仿宋" w:eastAsia="仿宋" w:hAnsi="仿宋" w:cs="仿宋"/>
          <w:sz w:val="30"/>
          <w:szCs w:val="30"/>
        </w:rPr>
      </w:pPr>
      <w:r w:rsidRPr="00536AAC">
        <w:rPr>
          <w:rFonts w:ascii="仿宋" w:eastAsia="仿宋" w:hAnsi="仿宋" w:cs="仿宋" w:hint="eastAsia"/>
          <w:sz w:val="30"/>
          <w:szCs w:val="30"/>
        </w:rPr>
        <w:t>（二）社会保障和就业支出年初预算数为0万元，决算数为74.65</w:t>
      </w:r>
      <w:r w:rsidR="001D7D97" w:rsidRPr="00536AAC">
        <w:rPr>
          <w:rFonts w:ascii="仿宋" w:eastAsia="仿宋" w:hAnsi="仿宋" w:cs="仿宋" w:hint="eastAsia"/>
          <w:sz w:val="30"/>
          <w:szCs w:val="30"/>
        </w:rPr>
        <w:t>万元。其中机关事业单位职业年金缴费支出52.36万元，抚恤支出22.29万元，</w:t>
      </w:r>
      <w:r w:rsidRPr="00536AAC">
        <w:rPr>
          <w:rFonts w:ascii="仿宋" w:eastAsia="仿宋" w:hAnsi="仿宋" w:cs="仿宋" w:hint="eastAsia"/>
          <w:sz w:val="30"/>
          <w:szCs w:val="30"/>
        </w:rPr>
        <w:t>主要原因：2020年度增加了机关事业单位职业年金缴费支出</w:t>
      </w:r>
      <w:r w:rsidR="00BA0610" w:rsidRPr="00536AAC">
        <w:rPr>
          <w:rFonts w:ascii="仿宋" w:eastAsia="仿宋" w:hAnsi="仿宋" w:cs="仿宋" w:hint="eastAsia"/>
          <w:sz w:val="30"/>
          <w:szCs w:val="30"/>
        </w:rPr>
        <w:t>52.36万元，</w:t>
      </w:r>
      <w:r w:rsidRPr="00536AAC">
        <w:rPr>
          <w:rFonts w:ascii="仿宋" w:eastAsia="仿宋" w:hAnsi="仿宋" w:cs="仿宋" w:hint="eastAsia"/>
          <w:sz w:val="30"/>
          <w:szCs w:val="30"/>
        </w:rPr>
        <w:t>死亡抚恤金的支出</w:t>
      </w:r>
      <w:r w:rsidR="00BA0610" w:rsidRPr="00536AAC">
        <w:rPr>
          <w:rFonts w:ascii="仿宋" w:eastAsia="仿宋" w:hAnsi="仿宋" w:cs="仿宋" w:hint="eastAsia"/>
          <w:sz w:val="30"/>
          <w:szCs w:val="30"/>
        </w:rPr>
        <w:t>较2019年度的6.8万元增加了15.49万元。</w:t>
      </w:r>
    </w:p>
    <w:p w:rsidR="00E41282" w:rsidRPr="00536AAC" w:rsidRDefault="00F909DF">
      <w:pPr>
        <w:pStyle w:val="a3"/>
        <w:widowControl/>
        <w:spacing w:beforeAutospacing="0" w:afterAutospacing="0" w:line="480" w:lineRule="atLeast"/>
        <w:ind w:firstLine="630"/>
        <w:rPr>
          <w:rFonts w:ascii="仿宋" w:eastAsia="仿宋" w:hAnsi="仿宋" w:cs="仿宋"/>
          <w:sz w:val="30"/>
          <w:szCs w:val="30"/>
        </w:rPr>
      </w:pPr>
      <w:r w:rsidRPr="00536AAC">
        <w:rPr>
          <w:rFonts w:ascii="仿宋" w:eastAsia="仿宋" w:hAnsi="仿宋" w:cs="仿宋" w:hint="eastAsia"/>
          <w:sz w:val="30"/>
          <w:szCs w:val="30"/>
        </w:rPr>
        <w:t>（三）节能环保支出年初预算数为0万元，决算数为8</w:t>
      </w:r>
      <w:r w:rsidR="00BA0610" w:rsidRPr="00536AAC">
        <w:rPr>
          <w:rFonts w:ascii="仿宋" w:eastAsia="仿宋" w:hAnsi="仿宋" w:cs="仿宋" w:hint="eastAsia"/>
          <w:sz w:val="30"/>
          <w:szCs w:val="30"/>
        </w:rPr>
        <w:t>万元。其中其他节能环保支出8万元，较2019年度增加了8万元其他节能环保方面的支出。</w:t>
      </w:r>
    </w:p>
    <w:p w:rsidR="00E41282" w:rsidRDefault="00F909DF">
      <w:pPr>
        <w:pStyle w:val="a3"/>
        <w:widowControl/>
        <w:numPr>
          <w:ilvl w:val="0"/>
          <w:numId w:val="4"/>
        </w:numPr>
        <w:spacing w:beforeAutospacing="0" w:afterAutospacing="0" w:line="480" w:lineRule="atLeast"/>
        <w:ind w:firstLine="630"/>
        <w:rPr>
          <w:rFonts w:ascii="黑体" w:eastAsia="黑体" w:hAnsi="微软雅黑" w:cs="黑体"/>
          <w:color w:val="333333"/>
          <w:sz w:val="30"/>
          <w:szCs w:val="30"/>
        </w:rPr>
      </w:pPr>
      <w:r>
        <w:rPr>
          <w:rFonts w:ascii="黑体" w:eastAsia="黑体" w:hAnsi="微软雅黑" w:cs="黑体" w:hint="eastAsia"/>
          <w:color w:val="333333"/>
          <w:sz w:val="30"/>
          <w:szCs w:val="30"/>
        </w:rPr>
        <w:t>一般公共预算财政拔款基本支出决算情况说明</w:t>
      </w:r>
    </w:p>
    <w:p w:rsidR="00E41282" w:rsidRDefault="00F909DF">
      <w:pPr>
        <w:ind w:firstLine="585"/>
        <w:jc w:val="left"/>
        <w:rPr>
          <w:rFonts w:ascii="仿宋" w:eastAsia="仿宋" w:hAnsi="仿宋"/>
          <w:sz w:val="30"/>
          <w:szCs w:val="30"/>
        </w:rPr>
      </w:pPr>
      <w:r>
        <w:rPr>
          <w:rFonts w:ascii="仿宋" w:eastAsia="仿宋" w:hAnsi="仿宋" w:hint="eastAsia"/>
          <w:sz w:val="30"/>
          <w:szCs w:val="30"/>
        </w:rPr>
        <w:t>本部门2020年度一般公共预算财政拨款基本支出4455.79  万元，其中：</w:t>
      </w:r>
    </w:p>
    <w:p w:rsidR="00E41282" w:rsidRDefault="00F909DF">
      <w:pPr>
        <w:pStyle w:val="a3"/>
        <w:widowControl/>
        <w:spacing w:beforeAutospacing="0" w:afterAutospacing="0" w:line="480" w:lineRule="atLeast"/>
        <w:ind w:firstLine="600"/>
        <w:rPr>
          <w:rFonts w:ascii="微软雅黑" w:eastAsia="微软雅黑" w:hAnsi="微软雅黑" w:cs="微软雅黑"/>
          <w:color w:val="333333"/>
          <w:sz w:val="21"/>
          <w:szCs w:val="21"/>
        </w:rPr>
      </w:pPr>
      <w:r>
        <w:rPr>
          <w:rFonts w:ascii="仿宋" w:eastAsia="仿宋" w:hAnsi="仿宋" w:cs="仿宋"/>
          <w:color w:val="333333"/>
          <w:sz w:val="30"/>
          <w:szCs w:val="30"/>
        </w:rPr>
        <w:lastRenderedPageBreak/>
        <w:t>（一）工资福利支出</w:t>
      </w:r>
      <w:r>
        <w:rPr>
          <w:rFonts w:ascii="仿宋" w:eastAsia="仿宋" w:hAnsi="仿宋" w:cs="仿宋" w:hint="eastAsia"/>
          <w:color w:val="333333"/>
          <w:sz w:val="30"/>
          <w:szCs w:val="30"/>
        </w:rPr>
        <w:t>3951.42</w:t>
      </w:r>
      <w:r>
        <w:rPr>
          <w:rFonts w:ascii="仿宋" w:eastAsia="仿宋" w:hAnsi="仿宋" w:cs="仿宋"/>
          <w:color w:val="333333"/>
          <w:sz w:val="30"/>
          <w:szCs w:val="30"/>
        </w:rPr>
        <w:t>万元，较201</w:t>
      </w:r>
      <w:r>
        <w:rPr>
          <w:rFonts w:ascii="仿宋" w:eastAsia="仿宋" w:hAnsi="仿宋" w:cs="仿宋" w:hint="eastAsia"/>
          <w:color w:val="333333"/>
          <w:sz w:val="30"/>
          <w:szCs w:val="30"/>
        </w:rPr>
        <w:t>9</w:t>
      </w:r>
      <w:r>
        <w:rPr>
          <w:rFonts w:ascii="仿宋" w:eastAsia="仿宋" w:hAnsi="仿宋" w:cs="仿宋"/>
          <w:color w:val="333333"/>
          <w:sz w:val="30"/>
          <w:szCs w:val="30"/>
        </w:rPr>
        <w:t>年</w:t>
      </w:r>
      <w:r>
        <w:rPr>
          <w:rFonts w:ascii="仿宋" w:eastAsia="仿宋" w:hAnsi="仿宋" w:cs="仿宋" w:hint="eastAsia"/>
          <w:color w:val="333333"/>
          <w:sz w:val="30"/>
          <w:szCs w:val="30"/>
        </w:rPr>
        <w:t>下降11</w:t>
      </w:r>
      <w:r>
        <w:rPr>
          <w:rFonts w:ascii="仿宋" w:eastAsia="仿宋" w:hAnsi="仿宋" w:cs="仿宋"/>
          <w:color w:val="333333"/>
          <w:sz w:val="30"/>
          <w:szCs w:val="30"/>
        </w:rPr>
        <w:t>.</w:t>
      </w:r>
      <w:r>
        <w:rPr>
          <w:rFonts w:ascii="仿宋" w:eastAsia="仿宋" w:hAnsi="仿宋" w:cs="仿宋" w:hint="eastAsia"/>
          <w:color w:val="333333"/>
          <w:sz w:val="30"/>
          <w:szCs w:val="30"/>
        </w:rPr>
        <w:t>5</w:t>
      </w:r>
      <w:r>
        <w:rPr>
          <w:rFonts w:ascii="仿宋" w:eastAsia="仿宋" w:hAnsi="仿宋" w:cs="仿宋"/>
          <w:color w:val="333333"/>
          <w:sz w:val="30"/>
          <w:szCs w:val="30"/>
        </w:rPr>
        <w:t>%，主要原因是：</w:t>
      </w:r>
      <w:r>
        <w:rPr>
          <w:rFonts w:ascii="仿宋" w:eastAsia="仿宋" w:hAnsi="仿宋" w:cs="仿宋" w:hint="eastAsia"/>
          <w:color w:val="333333"/>
          <w:sz w:val="30"/>
          <w:szCs w:val="30"/>
        </w:rPr>
        <w:t>奖金及津补贴减少所致</w:t>
      </w:r>
      <w:r>
        <w:rPr>
          <w:rFonts w:ascii="仿宋" w:eastAsia="仿宋" w:hAnsi="仿宋" w:cs="仿宋"/>
          <w:color w:val="333333"/>
          <w:sz w:val="30"/>
          <w:szCs w:val="30"/>
        </w:rPr>
        <w:t>。</w:t>
      </w:r>
    </w:p>
    <w:p w:rsidR="00E41282" w:rsidRDefault="00F909DF">
      <w:pPr>
        <w:pStyle w:val="a3"/>
        <w:widowControl/>
        <w:spacing w:beforeAutospacing="0" w:afterAutospacing="0" w:line="480" w:lineRule="atLeast"/>
        <w:ind w:firstLine="600"/>
        <w:rPr>
          <w:rFonts w:ascii="微软雅黑" w:eastAsia="微软雅黑" w:hAnsi="微软雅黑" w:cs="微软雅黑"/>
          <w:color w:val="333333"/>
          <w:sz w:val="21"/>
          <w:szCs w:val="21"/>
        </w:rPr>
      </w:pPr>
      <w:r>
        <w:rPr>
          <w:rFonts w:ascii="仿宋" w:eastAsia="仿宋" w:hAnsi="仿宋" w:cs="仿宋"/>
          <w:color w:val="333333"/>
          <w:sz w:val="30"/>
          <w:szCs w:val="30"/>
        </w:rPr>
        <w:t>（二）商品和服务支出</w:t>
      </w:r>
      <w:r>
        <w:rPr>
          <w:rFonts w:ascii="仿宋" w:eastAsia="仿宋" w:hAnsi="仿宋" w:cs="仿宋" w:hint="eastAsia"/>
          <w:color w:val="333333"/>
          <w:sz w:val="30"/>
          <w:szCs w:val="30"/>
        </w:rPr>
        <w:t>467</w:t>
      </w:r>
      <w:r>
        <w:rPr>
          <w:rFonts w:ascii="仿宋" w:eastAsia="仿宋" w:hAnsi="仿宋" w:cs="仿宋"/>
          <w:color w:val="333333"/>
          <w:sz w:val="30"/>
          <w:szCs w:val="30"/>
        </w:rPr>
        <w:t>.</w:t>
      </w:r>
      <w:r>
        <w:rPr>
          <w:rFonts w:ascii="仿宋" w:eastAsia="仿宋" w:hAnsi="仿宋" w:cs="仿宋" w:hint="eastAsia"/>
          <w:color w:val="333333"/>
          <w:sz w:val="30"/>
          <w:szCs w:val="30"/>
        </w:rPr>
        <w:t>77</w:t>
      </w:r>
      <w:r>
        <w:rPr>
          <w:rFonts w:ascii="仿宋" w:eastAsia="仿宋" w:hAnsi="仿宋" w:cs="仿宋"/>
          <w:color w:val="333333"/>
          <w:sz w:val="30"/>
          <w:szCs w:val="30"/>
        </w:rPr>
        <w:t>万元，较201</w:t>
      </w:r>
      <w:r>
        <w:rPr>
          <w:rFonts w:ascii="仿宋" w:eastAsia="仿宋" w:hAnsi="仿宋" w:cs="仿宋" w:hint="eastAsia"/>
          <w:color w:val="333333"/>
          <w:sz w:val="30"/>
          <w:szCs w:val="30"/>
        </w:rPr>
        <w:t>9</w:t>
      </w:r>
      <w:r>
        <w:rPr>
          <w:rFonts w:ascii="仿宋" w:eastAsia="仿宋" w:hAnsi="仿宋" w:cs="仿宋"/>
          <w:color w:val="333333"/>
          <w:sz w:val="30"/>
          <w:szCs w:val="30"/>
        </w:rPr>
        <w:t>年</w:t>
      </w:r>
      <w:r>
        <w:rPr>
          <w:rFonts w:ascii="仿宋" w:eastAsia="仿宋" w:hAnsi="仿宋" w:cs="仿宋" w:hint="eastAsia"/>
          <w:color w:val="333333"/>
          <w:sz w:val="30"/>
          <w:szCs w:val="30"/>
        </w:rPr>
        <w:t>增长42</w:t>
      </w:r>
      <w:r>
        <w:rPr>
          <w:rFonts w:ascii="仿宋" w:eastAsia="仿宋" w:hAnsi="仿宋" w:cs="仿宋"/>
          <w:color w:val="333333"/>
          <w:sz w:val="30"/>
          <w:szCs w:val="30"/>
        </w:rPr>
        <w:t>.</w:t>
      </w:r>
      <w:r>
        <w:rPr>
          <w:rFonts w:ascii="仿宋" w:eastAsia="仿宋" w:hAnsi="仿宋" w:cs="仿宋" w:hint="eastAsia"/>
          <w:color w:val="333333"/>
          <w:sz w:val="30"/>
          <w:szCs w:val="30"/>
        </w:rPr>
        <w:t>52</w:t>
      </w:r>
      <w:r>
        <w:rPr>
          <w:rFonts w:ascii="仿宋" w:eastAsia="仿宋" w:hAnsi="仿宋" w:cs="仿宋"/>
          <w:color w:val="333333"/>
          <w:sz w:val="30"/>
          <w:szCs w:val="30"/>
        </w:rPr>
        <w:t>%，主要原因是：</w:t>
      </w:r>
      <w:r>
        <w:rPr>
          <w:rFonts w:ascii="仿宋" w:eastAsia="仿宋" w:hAnsi="仿宋" w:cs="仿宋" w:hint="eastAsia"/>
          <w:color w:val="333333"/>
          <w:sz w:val="30"/>
          <w:szCs w:val="30"/>
        </w:rPr>
        <w:t>维修费、业务费和工会经费等费用增加</w:t>
      </w:r>
      <w:r>
        <w:rPr>
          <w:rFonts w:ascii="仿宋" w:eastAsia="仿宋" w:hAnsi="仿宋" w:cs="仿宋"/>
          <w:color w:val="333333"/>
          <w:sz w:val="30"/>
          <w:szCs w:val="30"/>
        </w:rPr>
        <w:t>。</w:t>
      </w:r>
    </w:p>
    <w:p w:rsidR="00E41282" w:rsidRDefault="00F909DF">
      <w:pPr>
        <w:pStyle w:val="a3"/>
        <w:widowControl/>
        <w:spacing w:beforeAutospacing="0" w:afterAutospacing="0" w:line="480" w:lineRule="atLeast"/>
        <w:ind w:firstLine="600"/>
        <w:rPr>
          <w:rFonts w:ascii="微软雅黑" w:eastAsia="微软雅黑" w:hAnsi="微软雅黑" w:cs="微软雅黑"/>
          <w:color w:val="333333"/>
          <w:sz w:val="21"/>
          <w:szCs w:val="21"/>
        </w:rPr>
      </w:pPr>
      <w:r>
        <w:rPr>
          <w:rFonts w:ascii="仿宋" w:eastAsia="仿宋" w:hAnsi="仿宋" w:cs="仿宋"/>
          <w:color w:val="333333"/>
          <w:sz w:val="30"/>
          <w:szCs w:val="30"/>
        </w:rPr>
        <w:t>（三）对个人和家庭补助支出</w:t>
      </w:r>
      <w:r>
        <w:rPr>
          <w:rFonts w:ascii="仿宋" w:eastAsia="仿宋" w:hAnsi="仿宋" w:cs="仿宋" w:hint="eastAsia"/>
          <w:color w:val="333333"/>
          <w:sz w:val="30"/>
          <w:szCs w:val="30"/>
        </w:rPr>
        <w:t>36</w:t>
      </w:r>
      <w:r>
        <w:rPr>
          <w:rFonts w:ascii="仿宋" w:eastAsia="仿宋" w:hAnsi="仿宋" w:cs="仿宋"/>
          <w:color w:val="333333"/>
          <w:sz w:val="30"/>
          <w:szCs w:val="30"/>
        </w:rPr>
        <w:t>.</w:t>
      </w:r>
      <w:r>
        <w:rPr>
          <w:rFonts w:ascii="仿宋" w:eastAsia="仿宋" w:hAnsi="仿宋" w:cs="仿宋" w:hint="eastAsia"/>
          <w:color w:val="333333"/>
          <w:sz w:val="30"/>
          <w:szCs w:val="30"/>
        </w:rPr>
        <w:t>6</w:t>
      </w:r>
      <w:r>
        <w:rPr>
          <w:rFonts w:ascii="仿宋" w:eastAsia="仿宋" w:hAnsi="仿宋" w:cs="仿宋"/>
          <w:color w:val="333333"/>
          <w:sz w:val="30"/>
          <w:szCs w:val="30"/>
        </w:rPr>
        <w:t>万元，较201</w:t>
      </w:r>
      <w:r>
        <w:rPr>
          <w:rFonts w:ascii="仿宋" w:eastAsia="仿宋" w:hAnsi="仿宋" w:cs="仿宋" w:hint="eastAsia"/>
          <w:color w:val="333333"/>
          <w:sz w:val="30"/>
          <w:szCs w:val="30"/>
        </w:rPr>
        <w:t>9</w:t>
      </w:r>
      <w:r>
        <w:rPr>
          <w:rFonts w:ascii="仿宋" w:eastAsia="仿宋" w:hAnsi="仿宋" w:cs="仿宋"/>
          <w:color w:val="333333"/>
          <w:sz w:val="30"/>
          <w:szCs w:val="30"/>
        </w:rPr>
        <w:t>年</w:t>
      </w:r>
      <w:r>
        <w:rPr>
          <w:rFonts w:ascii="仿宋" w:eastAsia="仿宋" w:hAnsi="仿宋" w:cs="仿宋" w:hint="eastAsia"/>
          <w:color w:val="333333"/>
          <w:sz w:val="30"/>
          <w:szCs w:val="30"/>
        </w:rPr>
        <w:t>下降</w:t>
      </w:r>
      <w:r>
        <w:rPr>
          <w:rFonts w:ascii="仿宋" w:eastAsia="仿宋" w:hAnsi="仿宋" w:cs="仿宋"/>
          <w:color w:val="333333"/>
          <w:sz w:val="30"/>
          <w:szCs w:val="30"/>
        </w:rPr>
        <w:t>8</w:t>
      </w:r>
      <w:r>
        <w:rPr>
          <w:rFonts w:ascii="仿宋" w:eastAsia="仿宋" w:hAnsi="仿宋" w:cs="仿宋" w:hint="eastAsia"/>
          <w:color w:val="333333"/>
          <w:sz w:val="30"/>
          <w:szCs w:val="30"/>
        </w:rPr>
        <w:t>0</w:t>
      </w:r>
      <w:r>
        <w:rPr>
          <w:rFonts w:ascii="仿宋" w:eastAsia="仿宋" w:hAnsi="仿宋" w:cs="仿宋"/>
          <w:color w:val="333333"/>
          <w:sz w:val="30"/>
          <w:szCs w:val="30"/>
        </w:rPr>
        <w:t>.</w:t>
      </w:r>
      <w:r>
        <w:rPr>
          <w:rFonts w:ascii="仿宋" w:eastAsia="仿宋" w:hAnsi="仿宋" w:cs="仿宋" w:hint="eastAsia"/>
          <w:color w:val="333333"/>
          <w:sz w:val="30"/>
          <w:szCs w:val="30"/>
        </w:rPr>
        <w:t>6</w:t>
      </w:r>
      <w:r>
        <w:rPr>
          <w:rFonts w:ascii="仿宋" w:eastAsia="仿宋" w:hAnsi="仿宋" w:cs="仿宋"/>
          <w:color w:val="333333"/>
          <w:sz w:val="30"/>
          <w:szCs w:val="30"/>
        </w:rPr>
        <w:t>%，主要原因是：</w:t>
      </w:r>
      <w:r>
        <w:rPr>
          <w:rFonts w:ascii="仿宋" w:eastAsia="仿宋" w:hAnsi="仿宋" w:cs="仿宋" w:hint="eastAsia"/>
          <w:color w:val="333333"/>
          <w:sz w:val="30"/>
          <w:szCs w:val="30"/>
        </w:rPr>
        <w:t>2020年度缩减了各项补助支出。</w:t>
      </w:r>
    </w:p>
    <w:p w:rsidR="00E41282" w:rsidRDefault="00F909DF">
      <w:pPr>
        <w:pStyle w:val="a3"/>
        <w:widowControl/>
        <w:spacing w:beforeAutospacing="0" w:afterAutospacing="0" w:line="480" w:lineRule="atLeast"/>
        <w:ind w:firstLine="585"/>
        <w:rPr>
          <w:rFonts w:ascii="仿宋" w:eastAsia="仿宋" w:hAnsi="仿宋" w:cs="仿宋"/>
          <w:color w:val="333333"/>
          <w:sz w:val="30"/>
          <w:szCs w:val="30"/>
        </w:rPr>
      </w:pPr>
      <w:r>
        <w:rPr>
          <w:rFonts w:ascii="仿宋" w:eastAsia="仿宋" w:hAnsi="仿宋" w:cs="仿宋"/>
          <w:color w:val="333333"/>
          <w:sz w:val="30"/>
          <w:szCs w:val="30"/>
        </w:rPr>
        <w:t>（四）资本性支出0万元，较201</w:t>
      </w:r>
      <w:r>
        <w:rPr>
          <w:rFonts w:ascii="仿宋" w:eastAsia="仿宋" w:hAnsi="仿宋" w:cs="仿宋" w:hint="eastAsia"/>
          <w:color w:val="333333"/>
          <w:sz w:val="30"/>
          <w:szCs w:val="30"/>
        </w:rPr>
        <w:t>9</w:t>
      </w:r>
      <w:r>
        <w:rPr>
          <w:rFonts w:ascii="仿宋" w:eastAsia="仿宋" w:hAnsi="仿宋" w:cs="仿宋"/>
          <w:color w:val="333333"/>
          <w:sz w:val="30"/>
          <w:szCs w:val="30"/>
        </w:rPr>
        <w:t>年增加（减少）0万元，增长（下降）0%，主要原因是：无。</w:t>
      </w:r>
    </w:p>
    <w:p w:rsidR="00E41282" w:rsidRDefault="00F909DF">
      <w:pPr>
        <w:pStyle w:val="a3"/>
        <w:widowControl/>
        <w:spacing w:beforeAutospacing="0" w:afterAutospacing="0" w:line="480" w:lineRule="atLeast"/>
        <w:ind w:firstLine="630"/>
        <w:rPr>
          <w:rFonts w:ascii="微软雅黑" w:eastAsia="微软雅黑" w:hAnsi="微软雅黑" w:cs="微软雅黑"/>
          <w:color w:val="333333"/>
          <w:sz w:val="21"/>
          <w:szCs w:val="21"/>
        </w:rPr>
      </w:pPr>
      <w:r>
        <w:rPr>
          <w:rFonts w:ascii="黑体" w:eastAsia="黑体" w:hAnsi="微软雅黑" w:cs="黑体" w:hint="eastAsia"/>
          <w:color w:val="333333"/>
          <w:sz w:val="30"/>
          <w:szCs w:val="30"/>
        </w:rPr>
        <w:t>六、一般公共预算财政拨款“三公”经费支出决算情况说明</w:t>
      </w:r>
    </w:p>
    <w:p w:rsidR="00E41282" w:rsidRDefault="00F909DF">
      <w:pPr>
        <w:pStyle w:val="a3"/>
        <w:widowControl/>
        <w:spacing w:beforeAutospacing="0" w:afterAutospacing="0" w:line="555" w:lineRule="atLeast"/>
        <w:ind w:firstLineChars="200" w:firstLine="600"/>
        <w:rPr>
          <w:rFonts w:ascii="微软雅黑" w:eastAsia="微软雅黑" w:hAnsi="微软雅黑" w:cs="微软雅黑"/>
          <w:color w:val="333333"/>
          <w:sz w:val="21"/>
          <w:szCs w:val="21"/>
        </w:rPr>
      </w:pPr>
      <w:r>
        <w:rPr>
          <w:rFonts w:ascii="仿宋" w:eastAsia="仿宋" w:hAnsi="仿宋" w:cs="仿宋"/>
          <w:color w:val="333333"/>
          <w:sz w:val="30"/>
          <w:szCs w:val="30"/>
        </w:rPr>
        <w:t>本部门20</w:t>
      </w:r>
      <w:r>
        <w:rPr>
          <w:rFonts w:ascii="仿宋" w:eastAsia="仿宋" w:hAnsi="仿宋" w:cs="仿宋" w:hint="eastAsia"/>
          <w:color w:val="333333"/>
          <w:sz w:val="30"/>
          <w:szCs w:val="30"/>
        </w:rPr>
        <w:t>20</w:t>
      </w:r>
      <w:r>
        <w:rPr>
          <w:rFonts w:ascii="仿宋" w:eastAsia="仿宋" w:hAnsi="仿宋" w:cs="仿宋"/>
          <w:color w:val="333333"/>
          <w:sz w:val="30"/>
          <w:szCs w:val="30"/>
        </w:rPr>
        <w:t>年度一般公共预算财政拨款</w:t>
      </w:r>
      <w:r>
        <w:rPr>
          <w:rFonts w:ascii="Times New Roman" w:eastAsia="仿宋" w:hAnsi="Times New Roman"/>
          <w:color w:val="333333"/>
          <w:sz w:val="30"/>
          <w:szCs w:val="30"/>
        </w:rPr>
        <w:t>“</w:t>
      </w:r>
      <w:r>
        <w:rPr>
          <w:rFonts w:ascii="仿宋" w:eastAsia="仿宋" w:hAnsi="仿宋" w:cs="仿宋"/>
          <w:color w:val="333333"/>
          <w:sz w:val="30"/>
          <w:szCs w:val="30"/>
        </w:rPr>
        <w:t>三公</w:t>
      </w:r>
      <w:r>
        <w:rPr>
          <w:rFonts w:ascii="Times New Roman" w:eastAsia="仿宋" w:hAnsi="Times New Roman"/>
          <w:color w:val="333333"/>
          <w:sz w:val="30"/>
          <w:szCs w:val="30"/>
        </w:rPr>
        <w:t>”</w:t>
      </w:r>
      <w:r>
        <w:rPr>
          <w:rFonts w:ascii="仿宋" w:eastAsia="仿宋" w:hAnsi="仿宋" w:cs="仿宋"/>
          <w:color w:val="333333"/>
          <w:sz w:val="30"/>
          <w:szCs w:val="30"/>
        </w:rPr>
        <w:t>经费支出年初预算数为</w:t>
      </w:r>
      <w:r>
        <w:rPr>
          <w:rFonts w:ascii="仿宋" w:eastAsia="仿宋" w:hAnsi="仿宋" w:cs="仿宋" w:hint="eastAsia"/>
          <w:color w:val="333333"/>
          <w:sz w:val="30"/>
          <w:szCs w:val="30"/>
        </w:rPr>
        <w:t>0</w:t>
      </w:r>
      <w:r>
        <w:rPr>
          <w:rFonts w:ascii="仿宋" w:eastAsia="仿宋" w:hAnsi="仿宋" w:cs="仿宋"/>
          <w:color w:val="333333"/>
          <w:sz w:val="30"/>
          <w:szCs w:val="30"/>
        </w:rPr>
        <w:t>万元，决算数为0万元</w:t>
      </w:r>
      <w:r>
        <w:rPr>
          <w:rFonts w:ascii="仿宋" w:eastAsia="仿宋" w:hAnsi="仿宋" w:cs="仿宋" w:hint="eastAsia"/>
          <w:color w:val="333333"/>
          <w:sz w:val="30"/>
          <w:szCs w:val="30"/>
        </w:rPr>
        <w:t>。</w:t>
      </w:r>
      <w:r>
        <w:rPr>
          <w:rFonts w:ascii="仿宋" w:eastAsia="仿宋" w:hAnsi="仿宋" w:cs="仿宋"/>
          <w:color w:val="333333"/>
          <w:sz w:val="30"/>
          <w:szCs w:val="30"/>
        </w:rPr>
        <w:t>其中：</w:t>
      </w:r>
    </w:p>
    <w:p w:rsidR="00E41282" w:rsidRDefault="00F909DF">
      <w:pPr>
        <w:pStyle w:val="a3"/>
        <w:widowControl/>
        <w:spacing w:beforeAutospacing="0" w:afterAutospacing="0" w:line="525" w:lineRule="atLeast"/>
        <w:ind w:firstLine="630"/>
        <w:rPr>
          <w:rFonts w:ascii="微软雅黑" w:eastAsia="微软雅黑" w:hAnsi="微软雅黑" w:cs="微软雅黑"/>
          <w:color w:val="333333"/>
          <w:sz w:val="21"/>
          <w:szCs w:val="21"/>
        </w:rPr>
      </w:pPr>
      <w:r>
        <w:rPr>
          <w:rFonts w:ascii="仿宋" w:eastAsia="仿宋" w:hAnsi="仿宋" w:cs="仿宋"/>
          <w:color w:val="333333"/>
          <w:sz w:val="30"/>
          <w:szCs w:val="30"/>
        </w:rPr>
        <w:t>（一）因公出国（境）支出年初预算数为 0万元，决算数为 0万元，完成年初预算的0%，决算数较201</w:t>
      </w:r>
      <w:r>
        <w:rPr>
          <w:rFonts w:ascii="仿宋" w:eastAsia="仿宋" w:hAnsi="仿宋" w:cs="仿宋" w:hint="eastAsia"/>
          <w:color w:val="333333"/>
          <w:sz w:val="30"/>
          <w:szCs w:val="30"/>
        </w:rPr>
        <w:t>9</w:t>
      </w:r>
      <w:r>
        <w:rPr>
          <w:rFonts w:ascii="仿宋" w:eastAsia="仿宋" w:hAnsi="仿宋" w:cs="仿宋"/>
          <w:color w:val="333333"/>
          <w:sz w:val="30"/>
          <w:szCs w:val="30"/>
        </w:rPr>
        <w:t>年增加（减少）0 万元，增长（下降）0 %。决算数较年初预算数增加（减少）的主要原因是：无。</w:t>
      </w:r>
    </w:p>
    <w:p w:rsidR="00E41282" w:rsidRDefault="00F909DF">
      <w:pPr>
        <w:ind w:firstLine="630"/>
        <w:jc w:val="left"/>
        <w:rPr>
          <w:rFonts w:ascii="宋体" w:hAnsi="宋体"/>
          <w:sz w:val="30"/>
          <w:szCs w:val="30"/>
        </w:rPr>
      </w:pPr>
      <w:r>
        <w:rPr>
          <w:rFonts w:ascii="仿宋" w:eastAsia="仿宋" w:hAnsi="仿宋" w:cs="仿宋"/>
          <w:color w:val="333333"/>
          <w:sz w:val="30"/>
          <w:szCs w:val="30"/>
        </w:rPr>
        <w:t>（二）公务接待费支出年初预算数为</w:t>
      </w:r>
      <w:r>
        <w:rPr>
          <w:rFonts w:ascii="仿宋" w:eastAsia="仿宋" w:hAnsi="仿宋" w:cs="仿宋" w:hint="eastAsia"/>
          <w:color w:val="333333"/>
          <w:sz w:val="30"/>
          <w:szCs w:val="30"/>
        </w:rPr>
        <w:t>0</w:t>
      </w:r>
      <w:r>
        <w:rPr>
          <w:rFonts w:ascii="仿宋" w:eastAsia="仿宋" w:hAnsi="仿宋" w:cs="仿宋"/>
          <w:color w:val="333333"/>
          <w:sz w:val="30"/>
          <w:szCs w:val="30"/>
        </w:rPr>
        <w:t>万元，决算数为</w:t>
      </w:r>
      <w:r>
        <w:rPr>
          <w:rFonts w:ascii="仿宋" w:eastAsia="仿宋" w:hAnsi="仿宋" w:cs="仿宋" w:hint="eastAsia"/>
          <w:color w:val="333333"/>
          <w:sz w:val="30"/>
          <w:szCs w:val="30"/>
        </w:rPr>
        <w:t>0</w:t>
      </w:r>
      <w:r>
        <w:rPr>
          <w:rFonts w:ascii="仿宋" w:eastAsia="仿宋" w:hAnsi="仿宋" w:cs="仿宋"/>
          <w:color w:val="333333"/>
          <w:sz w:val="30"/>
          <w:szCs w:val="30"/>
        </w:rPr>
        <w:t>万元，完成年初预算的</w:t>
      </w:r>
      <w:r>
        <w:rPr>
          <w:rFonts w:ascii="仿宋" w:eastAsia="仿宋" w:hAnsi="仿宋" w:cs="仿宋" w:hint="eastAsia"/>
          <w:color w:val="333333"/>
          <w:sz w:val="30"/>
          <w:szCs w:val="30"/>
        </w:rPr>
        <w:t>0</w:t>
      </w:r>
      <w:r>
        <w:rPr>
          <w:rFonts w:ascii="仿宋" w:eastAsia="仿宋" w:hAnsi="仿宋" w:cs="仿宋"/>
          <w:color w:val="333333"/>
          <w:sz w:val="30"/>
          <w:szCs w:val="30"/>
        </w:rPr>
        <w:t>%，决算数较201</w:t>
      </w:r>
      <w:r>
        <w:rPr>
          <w:rFonts w:ascii="仿宋" w:eastAsia="仿宋" w:hAnsi="仿宋" w:cs="仿宋" w:hint="eastAsia"/>
          <w:color w:val="333333"/>
          <w:sz w:val="30"/>
          <w:szCs w:val="30"/>
        </w:rPr>
        <w:t>9</w:t>
      </w:r>
      <w:r>
        <w:rPr>
          <w:rFonts w:ascii="仿宋" w:eastAsia="仿宋" w:hAnsi="仿宋" w:cs="仿宋"/>
          <w:color w:val="333333"/>
          <w:sz w:val="30"/>
          <w:szCs w:val="30"/>
        </w:rPr>
        <w:t>年增加</w:t>
      </w:r>
      <w:r>
        <w:rPr>
          <w:rFonts w:ascii="仿宋" w:eastAsia="仿宋" w:hAnsi="仿宋" w:cs="仿宋" w:hint="eastAsia"/>
          <w:color w:val="333333"/>
          <w:sz w:val="30"/>
          <w:szCs w:val="30"/>
        </w:rPr>
        <w:t>0</w:t>
      </w:r>
      <w:r>
        <w:rPr>
          <w:rFonts w:ascii="仿宋" w:eastAsia="仿宋" w:hAnsi="仿宋" w:cs="仿宋"/>
          <w:color w:val="333333"/>
          <w:sz w:val="30"/>
          <w:szCs w:val="30"/>
        </w:rPr>
        <w:t>万元，增长</w:t>
      </w:r>
      <w:r>
        <w:rPr>
          <w:rFonts w:ascii="仿宋" w:eastAsia="仿宋" w:hAnsi="仿宋" w:cs="仿宋" w:hint="eastAsia"/>
          <w:color w:val="333333"/>
          <w:sz w:val="30"/>
          <w:szCs w:val="30"/>
        </w:rPr>
        <w:t>0</w:t>
      </w:r>
      <w:r>
        <w:rPr>
          <w:rFonts w:ascii="仿宋" w:eastAsia="仿宋" w:hAnsi="仿宋" w:cs="仿宋"/>
          <w:color w:val="333333"/>
          <w:sz w:val="30"/>
          <w:szCs w:val="30"/>
        </w:rPr>
        <w:t xml:space="preserve"> %。决算数较年初预算数增加的主要原因是：</w:t>
      </w:r>
      <w:r>
        <w:rPr>
          <w:rFonts w:ascii="仿宋" w:eastAsia="仿宋" w:hAnsi="仿宋" w:cs="仿宋" w:hint="eastAsia"/>
          <w:color w:val="333333"/>
          <w:sz w:val="30"/>
          <w:szCs w:val="30"/>
        </w:rPr>
        <w:t>无</w:t>
      </w:r>
      <w:r>
        <w:rPr>
          <w:rFonts w:ascii="仿宋" w:eastAsia="仿宋" w:hAnsi="仿宋" w:cs="仿宋"/>
          <w:color w:val="333333"/>
          <w:sz w:val="30"/>
          <w:szCs w:val="30"/>
        </w:rPr>
        <w:t>。</w:t>
      </w:r>
    </w:p>
    <w:p w:rsidR="00E41282" w:rsidRDefault="00F909DF">
      <w:pPr>
        <w:pStyle w:val="a3"/>
        <w:widowControl/>
        <w:spacing w:beforeAutospacing="0" w:afterAutospacing="0"/>
        <w:ind w:firstLine="630"/>
        <w:rPr>
          <w:rFonts w:ascii="仿宋" w:eastAsia="仿宋" w:hAnsi="仿宋" w:cs="仿宋"/>
          <w:color w:val="333333"/>
          <w:sz w:val="30"/>
          <w:szCs w:val="30"/>
        </w:rPr>
      </w:pPr>
      <w:r>
        <w:rPr>
          <w:rFonts w:ascii="仿宋" w:eastAsia="仿宋" w:hAnsi="仿宋" w:cs="仿宋"/>
          <w:color w:val="333333"/>
          <w:sz w:val="30"/>
          <w:szCs w:val="30"/>
        </w:rPr>
        <w:t>（三）公务用车购置及运行维护费支出0万元，其中公务用车购置年初预算数为0 万元，决算数为0 万元，完成年初预算的 0%，决算数较201</w:t>
      </w:r>
      <w:r>
        <w:rPr>
          <w:rFonts w:ascii="仿宋" w:eastAsia="仿宋" w:hAnsi="仿宋" w:cs="仿宋" w:hint="eastAsia"/>
          <w:color w:val="333333"/>
          <w:sz w:val="30"/>
          <w:szCs w:val="30"/>
        </w:rPr>
        <w:t>9</w:t>
      </w:r>
      <w:r>
        <w:rPr>
          <w:rFonts w:ascii="仿宋" w:eastAsia="仿宋" w:hAnsi="仿宋" w:cs="仿宋"/>
          <w:color w:val="333333"/>
          <w:sz w:val="30"/>
          <w:szCs w:val="30"/>
        </w:rPr>
        <w:t>年增加（减少）0万元，增长（下降）0%。决算数较年初预算数增加（减少）的主要原因是：</w:t>
      </w:r>
      <w:r>
        <w:rPr>
          <w:rFonts w:ascii="仿宋" w:eastAsia="仿宋" w:hAnsi="仿宋" w:cs="仿宋" w:hint="eastAsia"/>
          <w:color w:val="333333"/>
          <w:sz w:val="30"/>
          <w:szCs w:val="30"/>
        </w:rPr>
        <w:t>无；</w:t>
      </w:r>
      <w:r>
        <w:rPr>
          <w:rFonts w:ascii="仿宋" w:eastAsia="仿宋" w:hAnsi="仿宋" w:cs="仿宋"/>
          <w:color w:val="333333"/>
          <w:sz w:val="30"/>
          <w:szCs w:val="30"/>
        </w:rPr>
        <w:t>公务用车</w:t>
      </w:r>
      <w:r>
        <w:rPr>
          <w:rFonts w:ascii="仿宋" w:eastAsia="仿宋" w:hAnsi="仿宋" w:cs="仿宋"/>
          <w:color w:val="333333"/>
          <w:sz w:val="30"/>
          <w:szCs w:val="30"/>
        </w:rPr>
        <w:lastRenderedPageBreak/>
        <w:t>运行维护费支出年初预算数为0万元，决算数为0，完成年初预算的0%，决算数较年初预算数</w:t>
      </w:r>
      <w:r>
        <w:rPr>
          <w:rFonts w:ascii="仿宋" w:eastAsia="仿宋" w:hAnsi="仿宋" w:cs="仿宋" w:hint="eastAsia"/>
          <w:color w:val="333333"/>
          <w:sz w:val="30"/>
          <w:szCs w:val="30"/>
        </w:rPr>
        <w:t>增加（</w:t>
      </w:r>
      <w:r>
        <w:rPr>
          <w:rFonts w:ascii="仿宋" w:eastAsia="仿宋" w:hAnsi="仿宋" w:cs="仿宋"/>
          <w:color w:val="333333"/>
          <w:sz w:val="30"/>
          <w:szCs w:val="30"/>
        </w:rPr>
        <w:t>减少</w:t>
      </w:r>
      <w:r>
        <w:rPr>
          <w:rFonts w:ascii="仿宋" w:eastAsia="仿宋" w:hAnsi="仿宋" w:cs="仿宋" w:hint="eastAsia"/>
          <w:color w:val="333333"/>
          <w:sz w:val="30"/>
          <w:szCs w:val="30"/>
        </w:rPr>
        <w:t>）</w:t>
      </w:r>
      <w:r>
        <w:rPr>
          <w:rFonts w:ascii="仿宋" w:eastAsia="仿宋" w:hAnsi="仿宋" w:cs="仿宋"/>
          <w:color w:val="333333"/>
          <w:sz w:val="30"/>
          <w:szCs w:val="30"/>
        </w:rPr>
        <w:t>的主要原因是：</w:t>
      </w:r>
      <w:r>
        <w:rPr>
          <w:rFonts w:ascii="仿宋" w:eastAsia="仿宋" w:hAnsi="仿宋" w:cs="仿宋" w:hint="eastAsia"/>
          <w:color w:val="333333"/>
          <w:sz w:val="30"/>
          <w:szCs w:val="30"/>
        </w:rPr>
        <w:t>无。</w:t>
      </w:r>
    </w:p>
    <w:p w:rsidR="00E41282" w:rsidRDefault="00F909DF">
      <w:pPr>
        <w:pStyle w:val="a3"/>
        <w:widowControl/>
        <w:spacing w:beforeAutospacing="0" w:afterAutospacing="0"/>
        <w:ind w:firstLine="630"/>
        <w:rPr>
          <w:rFonts w:ascii="黑体" w:eastAsia="黑体" w:hAnsi="微软雅黑" w:cs="黑体"/>
          <w:color w:val="333333"/>
          <w:sz w:val="30"/>
          <w:szCs w:val="30"/>
        </w:rPr>
      </w:pPr>
      <w:r>
        <w:rPr>
          <w:rFonts w:ascii="黑体" w:eastAsia="黑体" w:hAnsi="微软雅黑" w:cs="黑体" w:hint="eastAsia"/>
          <w:color w:val="333333"/>
          <w:sz w:val="30"/>
          <w:szCs w:val="30"/>
        </w:rPr>
        <w:t>七、政府性基金预算收入支出决算情况</w:t>
      </w:r>
    </w:p>
    <w:p w:rsidR="001F5AD3" w:rsidRDefault="00F909DF" w:rsidP="001F5AD3">
      <w:pPr>
        <w:ind w:firstLineChars="200" w:firstLine="600"/>
        <w:jc w:val="left"/>
        <w:rPr>
          <w:rFonts w:ascii="仿宋" w:eastAsia="仿宋" w:hAnsi="仿宋" w:cs="仿宋"/>
          <w:sz w:val="30"/>
          <w:szCs w:val="30"/>
        </w:rPr>
      </w:pPr>
      <w:r>
        <w:rPr>
          <w:rFonts w:ascii="仿宋" w:eastAsia="仿宋" w:hAnsi="仿宋" w:cs="仿宋" w:hint="eastAsia"/>
          <w:sz w:val="30"/>
          <w:szCs w:val="30"/>
        </w:rPr>
        <w:t>2020年度</w:t>
      </w:r>
      <w:r w:rsidR="001F5AD3">
        <w:rPr>
          <w:rFonts w:ascii="仿宋" w:eastAsia="仿宋" w:hAnsi="仿宋" w:cs="仿宋" w:hint="eastAsia"/>
          <w:sz w:val="30"/>
          <w:szCs w:val="30"/>
        </w:rPr>
        <w:t>本单位没有</w:t>
      </w:r>
      <w:r>
        <w:rPr>
          <w:rFonts w:ascii="仿宋" w:eastAsia="仿宋" w:hAnsi="仿宋" w:cs="仿宋" w:hint="eastAsia"/>
          <w:sz w:val="30"/>
          <w:szCs w:val="30"/>
        </w:rPr>
        <w:t>政府性基金预算财政拨款收入</w:t>
      </w:r>
      <w:r w:rsidR="001F5AD3">
        <w:rPr>
          <w:rFonts w:ascii="仿宋" w:eastAsia="仿宋" w:hAnsi="仿宋" w:cs="仿宋" w:hint="eastAsia"/>
          <w:sz w:val="30"/>
          <w:szCs w:val="30"/>
        </w:rPr>
        <w:t>支出。</w:t>
      </w:r>
    </w:p>
    <w:p w:rsidR="00E41282" w:rsidRDefault="00E41282">
      <w:pPr>
        <w:ind w:firstLineChars="200" w:firstLine="600"/>
        <w:jc w:val="left"/>
        <w:rPr>
          <w:rFonts w:ascii="黑体" w:eastAsia="黑体" w:hAnsi="微软雅黑" w:cs="黑体"/>
          <w:color w:val="333333"/>
          <w:sz w:val="30"/>
          <w:szCs w:val="30"/>
        </w:rPr>
      </w:pPr>
    </w:p>
    <w:p w:rsidR="00E41282" w:rsidRDefault="00F909DF">
      <w:pPr>
        <w:pStyle w:val="a3"/>
        <w:widowControl/>
        <w:spacing w:beforeAutospacing="0" w:afterAutospacing="0"/>
        <w:ind w:firstLine="630"/>
        <w:rPr>
          <w:rFonts w:ascii="微软雅黑" w:eastAsia="微软雅黑" w:hAnsi="微软雅黑" w:cs="微软雅黑"/>
          <w:color w:val="333333"/>
          <w:sz w:val="21"/>
          <w:szCs w:val="21"/>
        </w:rPr>
      </w:pPr>
      <w:r>
        <w:rPr>
          <w:rFonts w:ascii="黑体" w:eastAsia="黑体" w:hAnsi="微软雅黑" w:cs="黑体" w:hint="eastAsia"/>
          <w:color w:val="333333"/>
          <w:sz w:val="30"/>
          <w:szCs w:val="30"/>
        </w:rPr>
        <w:t>八、机关运行经费支出情况说明</w:t>
      </w:r>
    </w:p>
    <w:p w:rsidR="00E41282" w:rsidRDefault="00F909DF">
      <w:pPr>
        <w:pStyle w:val="a3"/>
        <w:widowControl/>
        <w:spacing w:beforeAutospacing="0" w:afterAutospacing="0" w:line="480" w:lineRule="atLeast"/>
        <w:ind w:firstLine="630"/>
        <w:rPr>
          <w:rFonts w:ascii="仿宋" w:eastAsia="仿宋" w:hAnsi="仿宋"/>
          <w:sz w:val="30"/>
          <w:szCs w:val="30"/>
        </w:rPr>
      </w:pPr>
      <w:r>
        <w:rPr>
          <w:rFonts w:ascii="仿宋" w:eastAsia="仿宋" w:hAnsi="仿宋" w:hint="eastAsia"/>
          <w:sz w:val="30"/>
          <w:szCs w:val="30"/>
        </w:rPr>
        <w:t>本部门2020年度机关运行经费支出467.77万元（与部门决算中行政单位和参照公务员法管理事业单位一般公共预算财政拨款基本支出中公用经费之和一致），较年初预算数（或者上年决算数）减少312.53万元，降低40.05%，主要原因是：办公设施设备购置经费减少/资产运行维护支出减少/信息系统运行维护支出减少。</w:t>
      </w:r>
    </w:p>
    <w:p w:rsidR="00E41282" w:rsidRDefault="00F909DF">
      <w:pPr>
        <w:pStyle w:val="a3"/>
        <w:widowControl/>
        <w:spacing w:beforeAutospacing="0" w:afterAutospacing="0"/>
        <w:ind w:firstLine="630"/>
        <w:rPr>
          <w:rFonts w:ascii="微软雅黑" w:eastAsia="微软雅黑" w:hAnsi="微软雅黑" w:cs="微软雅黑"/>
          <w:color w:val="333333"/>
          <w:sz w:val="21"/>
          <w:szCs w:val="21"/>
        </w:rPr>
      </w:pPr>
      <w:r>
        <w:rPr>
          <w:rFonts w:ascii="黑体" w:eastAsia="黑体" w:hAnsi="微软雅黑" w:cs="黑体" w:hint="eastAsia"/>
          <w:color w:val="333333"/>
          <w:sz w:val="30"/>
          <w:szCs w:val="30"/>
        </w:rPr>
        <w:t>九、政府采购支出情况说明</w:t>
      </w:r>
    </w:p>
    <w:p w:rsidR="00E41282" w:rsidRDefault="00F909DF">
      <w:pPr>
        <w:pStyle w:val="a3"/>
        <w:widowControl/>
        <w:spacing w:beforeAutospacing="0" w:afterAutospacing="0" w:line="480" w:lineRule="atLeast"/>
        <w:ind w:firstLine="600"/>
        <w:rPr>
          <w:rFonts w:ascii="仿宋" w:eastAsia="仿宋" w:hAnsi="仿宋"/>
          <w:sz w:val="30"/>
          <w:szCs w:val="30"/>
        </w:rPr>
      </w:pPr>
      <w:r>
        <w:rPr>
          <w:rFonts w:ascii="仿宋" w:eastAsia="仿宋" w:hAnsi="仿宋" w:hint="eastAsia"/>
          <w:sz w:val="30"/>
          <w:szCs w:val="30"/>
        </w:rPr>
        <w:t>本部门2020年度政府采购支出总额0万元，其中：政府采购货物支出0万元、政府采购工程支出0万元、政府采购服务支出0万元。授予中小企业合同金额0万元，占政府采购支出总额的0 %，其中：授予小微企业合同金额0万元，占政府采购支出总额的0%。（区级部门公开的政府采购金额的计算口径为：本部门纳入2020年部门预算范围的各项政府采购支出金额之和，不包括涉密采购项目的支出金额。）</w:t>
      </w:r>
    </w:p>
    <w:p w:rsidR="00E41282" w:rsidRDefault="00F909DF">
      <w:pPr>
        <w:pStyle w:val="a3"/>
        <w:widowControl/>
        <w:spacing w:beforeAutospacing="0" w:afterAutospacing="0" w:line="495" w:lineRule="atLeast"/>
        <w:ind w:firstLine="630"/>
        <w:rPr>
          <w:rFonts w:ascii="微软雅黑" w:eastAsia="微软雅黑" w:hAnsi="微软雅黑" w:cs="微软雅黑"/>
          <w:color w:val="333333"/>
          <w:sz w:val="21"/>
          <w:szCs w:val="21"/>
        </w:rPr>
      </w:pPr>
      <w:r>
        <w:rPr>
          <w:rFonts w:ascii="黑体" w:eastAsia="黑体" w:hAnsi="微软雅黑" w:cs="黑体" w:hint="eastAsia"/>
          <w:color w:val="333333"/>
          <w:sz w:val="30"/>
          <w:szCs w:val="30"/>
        </w:rPr>
        <w:t>十、国有资本经营预算财政拔款支出说明。</w:t>
      </w:r>
    </w:p>
    <w:p w:rsidR="00E41282" w:rsidRDefault="00F909DF">
      <w:pPr>
        <w:pStyle w:val="a3"/>
        <w:widowControl/>
        <w:spacing w:beforeAutospacing="0" w:afterAutospacing="0" w:line="480" w:lineRule="atLeast"/>
        <w:ind w:firstLine="600"/>
        <w:rPr>
          <w:rFonts w:ascii="仿宋" w:eastAsia="仿宋" w:hAnsi="仿宋" w:cs="仿宋"/>
          <w:sz w:val="30"/>
          <w:szCs w:val="30"/>
        </w:rPr>
      </w:pPr>
      <w:r>
        <w:rPr>
          <w:rFonts w:ascii="仿宋" w:eastAsia="仿宋" w:hAnsi="仿宋" w:cs="仿宋" w:hint="eastAsia"/>
          <w:sz w:val="30"/>
          <w:szCs w:val="30"/>
        </w:rPr>
        <w:lastRenderedPageBreak/>
        <w:t>2020年度国有资本经营预算财政拨款支出0万元，比上年增加（减少）0万元，占本年总支出的0 %，其中基本支出0万元，项目支出0万元。</w:t>
      </w:r>
    </w:p>
    <w:p w:rsidR="00E41282" w:rsidRDefault="00F909DF">
      <w:pPr>
        <w:pStyle w:val="a3"/>
        <w:widowControl/>
        <w:spacing w:beforeAutospacing="0" w:afterAutospacing="0" w:line="495" w:lineRule="atLeast"/>
        <w:ind w:firstLine="630"/>
        <w:rPr>
          <w:rFonts w:ascii="微软雅黑" w:eastAsia="微软雅黑" w:hAnsi="微软雅黑" w:cs="微软雅黑"/>
          <w:color w:val="333333"/>
          <w:sz w:val="21"/>
          <w:szCs w:val="21"/>
        </w:rPr>
      </w:pPr>
      <w:r>
        <w:rPr>
          <w:rFonts w:ascii="黑体" w:eastAsia="黑体" w:hAnsi="微软雅黑" w:cs="黑体" w:hint="eastAsia"/>
          <w:color w:val="333333"/>
          <w:sz w:val="30"/>
          <w:szCs w:val="30"/>
        </w:rPr>
        <w:t>十一、国有资产占用情况说明。</w:t>
      </w:r>
    </w:p>
    <w:p w:rsidR="00E41282" w:rsidRDefault="00F909DF">
      <w:pPr>
        <w:ind w:firstLine="630"/>
        <w:jc w:val="left"/>
        <w:rPr>
          <w:rFonts w:ascii="仿宋" w:eastAsia="仿宋" w:hAnsi="仿宋"/>
          <w:kern w:val="0"/>
          <w:sz w:val="30"/>
          <w:szCs w:val="30"/>
        </w:rPr>
      </w:pPr>
      <w:r>
        <w:rPr>
          <w:rFonts w:ascii="仿宋" w:eastAsia="仿宋" w:hAnsi="仿宋" w:hint="eastAsia"/>
          <w:kern w:val="0"/>
          <w:sz w:val="30"/>
          <w:szCs w:val="30"/>
        </w:rPr>
        <w:t>截止2020年12月31日，本部门国有资产占用情况见公开10表《国有资产占用情况表》。其中车辆中的其他用车0辆。</w:t>
      </w:r>
    </w:p>
    <w:p w:rsidR="00E41282" w:rsidRDefault="00F909DF">
      <w:pPr>
        <w:pStyle w:val="a3"/>
        <w:widowControl/>
        <w:spacing w:beforeAutospacing="0" w:afterAutospacing="0"/>
        <w:ind w:firstLine="630"/>
        <w:rPr>
          <w:rFonts w:ascii="微软雅黑" w:eastAsia="微软雅黑" w:hAnsi="微软雅黑" w:cs="微软雅黑"/>
          <w:color w:val="333333"/>
          <w:sz w:val="21"/>
          <w:szCs w:val="21"/>
        </w:rPr>
      </w:pPr>
      <w:r>
        <w:rPr>
          <w:rFonts w:ascii="黑体" w:eastAsia="黑体" w:hAnsi="微软雅黑" w:cs="黑体" w:hint="eastAsia"/>
          <w:color w:val="333333"/>
          <w:sz w:val="30"/>
          <w:szCs w:val="30"/>
        </w:rPr>
        <w:t>十二、预算绩效情况说明</w:t>
      </w:r>
    </w:p>
    <w:p w:rsidR="00E41282" w:rsidRDefault="00F909DF">
      <w:pPr>
        <w:autoSpaceDE w:val="0"/>
        <w:autoSpaceDN w:val="0"/>
        <w:adjustRightInd w:val="0"/>
        <w:spacing w:line="360" w:lineRule="auto"/>
        <w:jc w:val="left"/>
        <w:rPr>
          <w:rFonts w:ascii="仿宋" w:eastAsia="仿宋" w:hAnsi="仿宋" w:cs="仿宋_GB2312"/>
          <w:kern w:val="0"/>
          <w:sz w:val="30"/>
          <w:szCs w:val="30"/>
        </w:rPr>
      </w:pPr>
      <w:r>
        <w:rPr>
          <w:rStyle w:val="a4"/>
          <w:rFonts w:ascii="仿宋" w:eastAsia="仿宋" w:hAnsi="仿宋" w:cs="仿宋"/>
          <w:color w:val="333333"/>
          <w:sz w:val="30"/>
          <w:szCs w:val="30"/>
        </w:rPr>
        <w:t> </w:t>
      </w:r>
      <w:r>
        <w:rPr>
          <w:rFonts w:ascii="仿宋" w:eastAsia="仿宋" w:hAnsi="仿宋" w:cs="仿宋_GB2312" w:hint="eastAsia"/>
          <w:kern w:val="0"/>
          <w:sz w:val="30"/>
          <w:szCs w:val="30"/>
        </w:rPr>
        <w:t>（一）绩效管理工作开展情况。</w:t>
      </w:r>
    </w:p>
    <w:p w:rsidR="00E41282" w:rsidRDefault="00F909DF">
      <w:pPr>
        <w:autoSpaceDE w:val="0"/>
        <w:autoSpaceDN w:val="0"/>
        <w:adjustRightInd w:val="0"/>
        <w:spacing w:line="360" w:lineRule="auto"/>
        <w:ind w:firstLineChars="200" w:firstLine="600"/>
        <w:jc w:val="left"/>
        <w:rPr>
          <w:rFonts w:ascii="仿宋" w:eastAsia="仿宋" w:hAnsi="仿宋" w:cs="仿宋_GB2312"/>
          <w:kern w:val="0"/>
          <w:sz w:val="30"/>
          <w:szCs w:val="30"/>
        </w:rPr>
      </w:pPr>
      <w:r>
        <w:rPr>
          <w:rFonts w:ascii="仿宋" w:eastAsia="仿宋" w:hAnsi="仿宋" w:cs="仿宋_GB2312" w:hint="eastAsia"/>
          <w:kern w:val="0"/>
          <w:sz w:val="30"/>
          <w:szCs w:val="30"/>
        </w:rPr>
        <w:t>根据预算绩效管理要求，我部门组织对</w:t>
      </w:r>
      <w:r>
        <w:rPr>
          <w:rFonts w:ascii="仿宋" w:eastAsia="仿宋" w:hAnsi="仿宋" w:cs="仿宋_GB2312"/>
          <w:kern w:val="0"/>
          <w:sz w:val="30"/>
          <w:szCs w:val="30"/>
        </w:rPr>
        <w:t>20</w:t>
      </w:r>
      <w:r>
        <w:rPr>
          <w:rFonts w:ascii="仿宋" w:eastAsia="仿宋" w:hAnsi="仿宋" w:cs="仿宋_GB2312" w:hint="eastAsia"/>
          <w:kern w:val="0"/>
          <w:sz w:val="30"/>
          <w:szCs w:val="30"/>
        </w:rPr>
        <w:t>20年度一般公共预算整体支出绩效开展全面绩效自评，共涉及资金4455.79万元，占一般公共预算项目支出总额的100%；政府性基金预算支出0万元。</w:t>
      </w:r>
    </w:p>
    <w:p w:rsidR="00E41282" w:rsidRDefault="00F909DF">
      <w:pPr>
        <w:autoSpaceDE w:val="0"/>
        <w:autoSpaceDN w:val="0"/>
        <w:adjustRightInd w:val="0"/>
        <w:spacing w:line="360" w:lineRule="auto"/>
        <w:ind w:firstLineChars="200" w:firstLine="600"/>
        <w:jc w:val="left"/>
        <w:rPr>
          <w:rFonts w:ascii="仿宋" w:eastAsia="仿宋" w:hAnsi="仿宋" w:cs="仿宋_GB2312"/>
          <w:kern w:val="0"/>
          <w:sz w:val="30"/>
          <w:szCs w:val="30"/>
        </w:rPr>
      </w:pPr>
      <w:r>
        <w:rPr>
          <w:rFonts w:ascii="仿宋" w:eastAsia="仿宋" w:hAnsi="仿宋" w:cs="仿宋_GB2312" w:hint="eastAsia"/>
          <w:kern w:val="0"/>
          <w:sz w:val="30"/>
          <w:szCs w:val="30"/>
        </w:rPr>
        <w:t>我部门此次整体支出绩效全面评价具体体现</w:t>
      </w:r>
      <w:bookmarkStart w:id="0" w:name="_GoBack"/>
      <w:bookmarkEnd w:id="0"/>
      <w:r>
        <w:rPr>
          <w:rFonts w:ascii="仿宋" w:eastAsia="仿宋" w:hAnsi="仿宋" w:cs="仿宋_GB2312" w:hint="eastAsia"/>
          <w:kern w:val="0"/>
          <w:sz w:val="30"/>
          <w:szCs w:val="30"/>
        </w:rPr>
        <w:t xml:space="preserve">为：社会效益方面表现为提高了学校的教学质量，也促进了教师教学水平的提高。在可持续性效益方面表现为学校经常让教师、干部外出进行教师培训、干部培训，使学校的教学工作可以持续开展，提高学生知识水平，提高老师的教学水平。在服务对象满意度方面，在教学及培训等各项业务活动组织过程中，各方面事务尽量考虑周全，为服务对象提供所需求的服务，学生对教学满意度达到95%，参加培训人员对服务满意度达到95%。  </w:t>
      </w:r>
    </w:p>
    <w:p w:rsidR="00E41282" w:rsidRDefault="00F909DF">
      <w:pPr>
        <w:autoSpaceDE w:val="0"/>
        <w:autoSpaceDN w:val="0"/>
        <w:adjustRightInd w:val="0"/>
        <w:spacing w:line="360" w:lineRule="auto"/>
        <w:ind w:firstLineChars="200" w:firstLine="600"/>
        <w:jc w:val="left"/>
        <w:rPr>
          <w:rFonts w:ascii="仿宋" w:eastAsia="仿宋" w:hAnsi="仿宋" w:cs="仿宋_GB2312"/>
          <w:kern w:val="0"/>
          <w:sz w:val="30"/>
          <w:szCs w:val="30"/>
        </w:rPr>
      </w:pPr>
      <w:r>
        <w:rPr>
          <w:rFonts w:ascii="仿宋" w:eastAsia="仿宋" w:hAnsi="仿宋" w:cs="仿宋_GB2312" w:hint="eastAsia"/>
          <w:kern w:val="0"/>
          <w:sz w:val="30"/>
          <w:szCs w:val="30"/>
        </w:rPr>
        <w:t>（二）部门评价项目绩效评价结果。</w:t>
      </w:r>
    </w:p>
    <w:p w:rsidR="00E41282" w:rsidRDefault="00F909DF">
      <w:pPr>
        <w:autoSpaceDE w:val="0"/>
        <w:autoSpaceDN w:val="0"/>
        <w:adjustRightInd w:val="0"/>
        <w:spacing w:line="360" w:lineRule="auto"/>
        <w:ind w:firstLineChars="200" w:firstLine="600"/>
        <w:jc w:val="left"/>
        <w:rPr>
          <w:rFonts w:ascii="仿宋" w:eastAsia="仿宋" w:hAnsi="仿宋" w:cs="仿宋_GB2312"/>
          <w:kern w:val="0"/>
          <w:sz w:val="30"/>
          <w:szCs w:val="30"/>
        </w:rPr>
      </w:pPr>
      <w:r>
        <w:rPr>
          <w:rFonts w:ascii="仿宋" w:eastAsia="仿宋" w:hAnsi="仿宋" w:cs="仿宋_GB2312" w:hint="eastAsia"/>
          <w:kern w:val="0"/>
          <w:sz w:val="30"/>
          <w:szCs w:val="30"/>
        </w:rPr>
        <w:t>根据对我校2020年部门整体支出项目绩效评价指标体系和</w:t>
      </w:r>
      <w:r>
        <w:rPr>
          <w:rFonts w:ascii="仿宋" w:eastAsia="仿宋" w:hAnsi="仿宋" w:cs="仿宋_GB2312" w:hint="eastAsia"/>
          <w:kern w:val="0"/>
          <w:sz w:val="30"/>
          <w:szCs w:val="30"/>
        </w:rPr>
        <w:lastRenderedPageBreak/>
        <w:t>绩效情况的检查，2020年我校整体绩效自评分99分。</w:t>
      </w:r>
    </w:p>
    <w:p w:rsidR="00E41282" w:rsidRDefault="00F909DF">
      <w:pPr>
        <w:autoSpaceDE w:val="0"/>
        <w:autoSpaceDN w:val="0"/>
        <w:adjustRightInd w:val="0"/>
        <w:spacing w:line="360" w:lineRule="auto"/>
        <w:ind w:firstLineChars="200" w:firstLine="600"/>
        <w:jc w:val="left"/>
        <w:rPr>
          <w:rFonts w:ascii="仿宋" w:eastAsia="仿宋" w:hAnsi="仿宋" w:cs="仿宋_GB2312"/>
          <w:kern w:val="0"/>
          <w:sz w:val="30"/>
          <w:szCs w:val="30"/>
        </w:rPr>
      </w:pPr>
      <w:r>
        <w:rPr>
          <w:rFonts w:ascii="仿宋" w:eastAsia="仿宋" w:hAnsi="仿宋" w:cs="仿宋_GB2312" w:hint="eastAsia"/>
          <w:kern w:val="0"/>
          <w:sz w:val="30"/>
          <w:szCs w:val="30"/>
        </w:rPr>
        <w:t>2020年，我校未出现违规支出部门经费情况，当年各项支出总体落实情况较好，审核、支出奖金及时，全年绩效目标任务完成情况较好。</w:t>
      </w:r>
    </w:p>
    <w:p w:rsidR="00E41282" w:rsidRDefault="00F909DF">
      <w:pPr>
        <w:autoSpaceDE w:val="0"/>
        <w:autoSpaceDN w:val="0"/>
        <w:adjustRightInd w:val="0"/>
        <w:spacing w:line="360" w:lineRule="auto"/>
        <w:ind w:firstLineChars="200" w:firstLine="600"/>
        <w:jc w:val="left"/>
        <w:rPr>
          <w:rFonts w:ascii="仿宋" w:eastAsia="仿宋" w:hAnsi="仿宋" w:cs="仿宋_GB2312"/>
          <w:kern w:val="0"/>
          <w:sz w:val="30"/>
          <w:szCs w:val="30"/>
        </w:rPr>
      </w:pPr>
      <w:r>
        <w:rPr>
          <w:rFonts w:ascii="仿宋" w:eastAsia="仿宋" w:hAnsi="仿宋" w:cs="仿宋_GB2312" w:hint="eastAsia"/>
          <w:kern w:val="0"/>
          <w:sz w:val="30"/>
          <w:szCs w:val="30"/>
        </w:rPr>
        <w:t>此次绩效评价严格按照绩效管理工作的有关规定，进一步规范财政资金的管理，强化财政支出绩效理念，提升学校各部门责任意识，提高资金使用效益，为学校正常教学奠定好的物质基础，保证学校教学工作正常运转。</w:t>
      </w:r>
    </w:p>
    <w:p w:rsidR="00E41282" w:rsidRDefault="00F909DF">
      <w:pPr>
        <w:autoSpaceDE w:val="0"/>
        <w:autoSpaceDN w:val="0"/>
        <w:adjustRightInd w:val="0"/>
        <w:spacing w:line="360" w:lineRule="auto"/>
        <w:ind w:firstLineChars="200" w:firstLine="600"/>
        <w:jc w:val="left"/>
        <w:rPr>
          <w:rFonts w:ascii="仿宋" w:eastAsia="仿宋" w:hAnsi="仿宋" w:cs="仿宋_GB2312"/>
          <w:kern w:val="0"/>
          <w:sz w:val="30"/>
          <w:szCs w:val="30"/>
        </w:rPr>
      </w:pPr>
      <w:r>
        <w:rPr>
          <w:rFonts w:ascii="仿宋" w:eastAsia="仿宋" w:hAnsi="仿宋" w:cs="仿宋_GB2312" w:hint="eastAsia"/>
          <w:kern w:val="0"/>
          <w:sz w:val="30"/>
          <w:szCs w:val="30"/>
        </w:rPr>
        <w:t>根据绩效评价的要求，我校成立了自评工作领导小组，对照自评方案进行研究布署，按照自评方案的要求，对照自评实施项目的内容逐项核对，及时纠正偏差，为下一步工作夯实基础。</w:t>
      </w:r>
    </w:p>
    <w:p w:rsidR="00E41282" w:rsidRDefault="00F909DF">
      <w:pPr>
        <w:pStyle w:val="a3"/>
        <w:widowControl/>
        <w:spacing w:beforeAutospacing="0" w:afterAutospacing="0" w:line="495" w:lineRule="atLeast"/>
        <w:ind w:firstLine="600"/>
        <w:rPr>
          <w:rFonts w:ascii="微软雅黑" w:eastAsia="微软雅黑" w:hAnsi="微软雅黑" w:cs="微软雅黑"/>
          <w:color w:val="333333"/>
          <w:sz w:val="21"/>
          <w:szCs w:val="21"/>
        </w:rPr>
      </w:pPr>
      <w:r>
        <w:rPr>
          <w:rFonts w:ascii="仿宋" w:eastAsia="仿宋" w:hAnsi="仿宋" w:cs="仿宋"/>
          <w:color w:val="333333"/>
          <w:sz w:val="30"/>
          <w:szCs w:val="30"/>
        </w:rPr>
        <w:t> </w:t>
      </w:r>
    </w:p>
    <w:p w:rsidR="00E41282" w:rsidRDefault="00E41282">
      <w:pPr>
        <w:pStyle w:val="a3"/>
        <w:widowControl/>
        <w:spacing w:beforeAutospacing="0" w:afterAutospacing="0" w:line="480" w:lineRule="atLeast"/>
        <w:jc w:val="center"/>
        <w:rPr>
          <w:rStyle w:val="a4"/>
          <w:rFonts w:ascii="宋体" w:eastAsia="宋体" w:hAnsi="宋体" w:cs="宋体"/>
          <w:color w:val="333333"/>
          <w:sz w:val="31"/>
          <w:szCs w:val="31"/>
        </w:rPr>
      </w:pPr>
    </w:p>
    <w:p w:rsidR="00E41282" w:rsidRDefault="00F909DF">
      <w:pPr>
        <w:widowControl/>
        <w:spacing w:line="600" w:lineRule="exact"/>
        <w:ind w:firstLine="640"/>
        <w:jc w:val="center"/>
        <w:rPr>
          <w:rFonts w:ascii="宋体" w:hAnsi="宋体"/>
          <w:b/>
          <w:sz w:val="32"/>
          <w:szCs w:val="32"/>
        </w:rPr>
      </w:pPr>
      <w:r>
        <w:rPr>
          <w:rFonts w:ascii="宋体" w:hAnsi="宋体" w:hint="eastAsia"/>
          <w:b/>
          <w:sz w:val="32"/>
          <w:szCs w:val="32"/>
        </w:rPr>
        <w:t>第四部分  名词解释</w:t>
      </w:r>
    </w:p>
    <w:p w:rsidR="00E41282" w:rsidRDefault="00E41282">
      <w:pPr>
        <w:pStyle w:val="p0"/>
        <w:spacing w:line="600" w:lineRule="atLeast"/>
        <w:ind w:firstLine="600"/>
        <w:rPr>
          <w:rFonts w:ascii="仿宋" w:eastAsia="仿宋" w:hAnsi="仿宋"/>
          <w:sz w:val="30"/>
          <w:szCs w:val="30"/>
        </w:rPr>
      </w:pPr>
    </w:p>
    <w:p w:rsidR="00E41282" w:rsidRDefault="00F909DF">
      <w:pPr>
        <w:ind w:firstLine="600"/>
        <w:rPr>
          <w:rFonts w:ascii="仿宋" w:eastAsia="仿宋" w:hAnsi="仿宋"/>
          <w:kern w:val="0"/>
          <w:sz w:val="30"/>
          <w:szCs w:val="30"/>
        </w:rPr>
      </w:pPr>
      <w:r>
        <w:rPr>
          <w:rFonts w:ascii="仿宋" w:eastAsia="仿宋" w:hAnsi="仿宋" w:hint="eastAsia"/>
          <w:kern w:val="0"/>
          <w:sz w:val="30"/>
          <w:szCs w:val="30"/>
        </w:rPr>
        <w:t>（名词解释应以财务会计制度、政府收支分类科目以及部门预算管理等规定为基本说明，可在此基础上结合部门实际情况适当细化。“三公”经费支出和机关运行经费支出口径必需予以说明。）</w:t>
      </w:r>
    </w:p>
    <w:p w:rsidR="00E41282" w:rsidRDefault="00F909DF">
      <w:pPr>
        <w:numPr>
          <w:ilvl w:val="0"/>
          <w:numId w:val="5"/>
        </w:numPr>
        <w:ind w:firstLine="600"/>
        <w:rPr>
          <w:rFonts w:ascii="仿宋" w:eastAsia="仿宋" w:hAnsi="仿宋"/>
          <w:kern w:val="0"/>
          <w:sz w:val="30"/>
          <w:szCs w:val="30"/>
        </w:rPr>
      </w:pPr>
      <w:r>
        <w:rPr>
          <w:rFonts w:ascii="仿宋" w:eastAsia="仿宋" w:hAnsi="仿宋" w:hint="eastAsia"/>
          <w:kern w:val="0"/>
          <w:sz w:val="30"/>
          <w:szCs w:val="30"/>
        </w:rPr>
        <w:t>收入科目</w:t>
      </w:r>
    </w:p>
    <w:p w:rsidR="00E41282" w:rsidRDefault="00F909DF">
      <w:pPr>
        <w:numPr>
          <w:ilvl w:val="0"/>
          <w:numId w:val="6"/>
        </w:numPr>
        <w:ind w:firstLineChars="213" w:firstLine="639"/>
        <w:rPr>
          <w:rFonts w:ascii="仿宋" w:eastAsia="仿宋" w:hAnsi="仿宋"/>
          <w:kern w:val="0"/>
          <w:sz w:val="30"/>
          <w:szCs w:val="30"/>
        </w:rPr>
      </w:pPr>
      <w:r>
        <w:rPr>
          <w:rFonts w:ascii="仿宋" w:eastAsia="仿宋" w:hAnsi="仿宋" w:hint="eastAsia"/>
          <w:kern w:val="0"/>
          <w:sz w:val="30"/>
          <w:szCs w:val="30"/>
        </w:rPr>
        <w:t>一般公共预算财政拨款：指区级财政当年拨付的使用一般公共预算科目支出的财政资金。</w:t>
      </w:r>
    </w:p>
    <w:p w:rsidR="00E41282" w:rsidRDefault="00F909DF">
      <w:pPr>
        <w:numPr>
          <w:ilvl w:val="0"/>
          <w:numId w:val="6"/>
        </w:numPr>
        <w:ind w:firstLineChars="213" w:firstLine="639"/>
        <w:rPr>
          <w:rFonts w:ascii="仿宋" w:eastAsia="仿宋" w:hAnsi="仿宋"/>
          <w:kern w:val="0"/>
          <w:sz w:val="30"/>
          <w:szCs w:val="30"/>
        </w:rPr>
      </w:pPr>
      <w:r>
        <w:rPr>
          <w:rFonts w:ascii="仿宋" w:eastAsia="仿宋" w:hAnsi="仿宋" w:hint="eastAsia"/>
          <w:kern w:val="0"/>
          <w:sz w:val="30"/>
          <w:szCs w:val="30"/>
        </w:rPr>
        <w:lastRenderedPageBreak/>
        <w:t>政府性基金预算财政拨款：指区级财政当年拨付的使用政府性基金预算科目支出的财政资金。</w:t>
      </w:r>
    </w:p>
    <w:p w:rsidR="00E41282" w:rsidRDefault="00F909DF">
      <w:pPr>
        <w:numPr>
          <w:ilvl w:val="0"/>
          <w:numId w:val="6"/>
        </w:numPr>
        <w:ind w:firstLineChars="213" w:firstLine="639"/>
        <w:rPr>
          <w:rFonts w:ascii="仿宋" w:eastAsia="仿宋" w:hAnsi="仿宋"/>
          <w:kern w:val="0"/>
          <w:sz w:val="30"/>
          <w:szCs w:val="30"/>
        </w:rPr>
      </w:pPr>
      <w:r>
        <w:rPr>
          <w:rFonts w:ascii="仿宋" w:eastAsia="仿宋" w:hAnsi="仿宋" w:hint="eastAsia"/>
          <w:kern w:val="0"/>
          <w:sz w:val="30"/>
          <w:szCs w:val="30"/>
        </w:rPr>
        <w:t>上级补助收入：指事业单位从主管部门和上级单位取得的非财政补助收入。</w:t>
      </w:r>
    </w:p>
    <w:p w:rsidR="00E41282" w:rsidRDefault="00F909DF">
      <w:pPr>
        <w:numPr>
          <w:ilvl w:val="0"/>
          <w:numId w:val="6"/>
        </w:numPr>
        <w:ind w:firstLineChars="213" w:firstLine="639"/>
        <w:rPr>
          <w:rFonts w:ascii="仿宋" w:eastAsia="仿宋" w:hAnsi="仿宋"/>
          <w:kern w:val="0"/>
          <w:sz w:val="30"/>
          <w:szCs w:val="30"/>
        </w:rPr>
      </w:pPr>
      <w:r>
        <w:rPr>
          <w:rFonts w:ascii="仿宋" w:eastAsia="仿宋" w:hAnsi="仿宋" w:hint="eastAsia"/>
          <w:kern w:val="0"/>
          <w:sz w:val="30"/>
          <w:szCs w:val="30"/>
        </w:rPr>
        <w:t>其他收入：指除“财政拨款”以外的收入，主要是上级单位拨款、重点项目前期协调工作经费及存款利息收入等。</w:t>
      </w:r>
    </w:p>
    <w:p w:rsidR="00E41282" w:rsidRDefault="00F909DF">
      <w:pPr>
        <w:numPr>
          <w:ilvl w:val="0"/>
          <w:numId w:val="6"/>
        </w:numPr>
        <w:ind w:firstLineChars="213" w:firstLine="639"/>
        <w:rPr>
          <w:rFonts w:ascii="仿宋" w:eastAsia="仿宋" w:hAnsi="仿宋"/>
          <w:kern w:val="0"/>
          <w:sz w:val="30"/>
          <w:szCs w:val="30"/>
        </w:rPr>
      </w:pPr>
      <w:r>
        <w:rPr>
          <w:rFonts w:ascii="仿宋" w:eastAsia="仿宋" w:hAnsi="仿宋" w:hint="eastAsia"/>
          <w:kern w:val="0"/>
          <w:sz w:val="30"/>
          <w:szCs w:val="30"/>
        </w:rPr>
        <w:t>年初结转结余：指以前年度尚未完成、结转到本年按原规定用途继续使用的资金，或项目已完成产生的结余资金。</w:t>
      </w:r>
    </w:p>
    <w:p w:rsidR="00E41282" w:rsidRDefault="00F909DF">
      <w:pPr>
        <w:numPr>
          <w:ilvl w:val="0"/>
          <w:numId w:val="6"/>
        </w:numPr>
        <w:ind w:firstLineChars="213" w:firstLine="639"/>
        <w:rPr>
          <w:rFonts w:ascii="仿宋" w:eastAsia="仿宋" w:hAnsi="仿宋"/>
          <w:kern w:val="0"/>
          <w:sz w:val="30"/>
          <w:szCs w:val="30"/>
        </w:rPr>
      </w:pPr>
      <w:r>
        <w:rPr>
          <w:rFonts w:ascii="仿宋" w:eastAsia="仿宋" w:hAnsi="仿宋" w:hint="eastAsia"/>
          <w:kern w:val="0"/>
          <w:sz w:val="30"/>
          <w:szCs w:val="30"/>
        </w:rPr>
        <w:t>年末结转和结余：指单位按有关规定结转到下年或以后年度继续使用的资金，包括当年财政拨款结转结余资金和其他结转结余资金。</w:t>
      </w:r>
    </w:p>
    <w:p w:rsidR="00E41282" w:rsidRDefault="00F909DF">
      <w:pPr>
        <w:numPr>
          <w:ilvl w:val="0"/>
          <w:numId w:val="5"/>
        </w:numPr>
        <w:ind w:firstLine="600"/>
        <w:rPr>
          <w:rFonts w:ascii="仿宋" w:eastAsia="仿宋" w:hAnsi="仿宋"/>
          <w:kern w:val="0"/>
          <w:sz w:val="30"/>
          <w:szCs w:val="30"/>
        </w:rPr>
      </w:pPr>
      <w:r>
        <w:rPr>
          <w:rFonts w:ascii="仿宋" w:eastAsia="仿宋" w:hAnsi="仿宋" w:hint="eastAsia"/>
          <w:kern w:val="0"/>
          <w:sz w:val="30"/>
          <w:szCs w:val="30"/>
        </w:rPr>
        <w:t>支出科目</w:t>
      </w:r>
    </w:p>
    <w:p w:rsidR="00E41282" w:rsidRDefault="00F909DF">
      <w:pPr>
        <w:ind w:firstLineChars="200" w:firstLine="600"/>
        <w:rPr>
          <w:rFonts w:ascii="仿宋" w:eastAsia="仿宋" w:hAnsi="仿宋"/>
          <w:kern w:val="0"/>
          <w:sz w:val="30"/>
          <w:szCs w:val="30"/>
        </w:rPr>
      </w:pPr>
      <w:r>
        <w:rPr>
          <w:rFonts w:ascii="仿宋" w:eastAsia="仿宋" w:hAnsi="仿宋" w:hint="eastAsia"/>
          <w:kern w:val="0"/>
          <w:sz w:val="30"/>
          <w:szCs w:val="30"/>
        </w:rPr>
        <w:t>基本支出：指为保障机构正常运转、完成日常工作任务而发生的各项支出，包括人员支出和公用支出。</w:t>
      </w:r>
    </w:p>
    <w:p w:rsidR="00E41282" w:rsidRDefault="00F909DF">
      <w:pPr>
        <w:ind w:firstLine="600"/>
        <w:rPr>
          <w:rFonts w:ascii="仿宋" w:eastAsia="仿宋" w:hAnsi="仿宋"/>
          <w:kern w:val="0"/>
          <w:sz w:val="30"/>
          <w:szCs w:val="30"/>
        </w:rPr>
      </w:pPr>
      <w:r>
        <w:rPr>
          <w:rFonts w:ascii="仿宋" w:eastAsia="仿宋" w:hAnsi="仿宋" w:hint="eastAsia"/>
          <w:kern w:val="0"/>
          <w:sz w:val="30"/>
          <w:szCs w:val="30"/>
        </w:rPr>
        <w:t>项目支出：指在基本支出以外为完成特定行政任务和事业发展目标所发生的各项支出。</w:t>
      </w:r>
    </w:p>
    <w:p w:rsidR="00E41282" w:rsidRDefault="00F909DF">
      <w:pPr>
        <w:ind w:firstLine="600"/>
        <w:rPr>
          <w:rFonts w:ascii="仿宋" w:eastAsia="仿宋" w:hAnsi="仿宋"/>
          <w:kern w:val="0"/>
          <w:sz w:val="30"/>
          <w:szCs w:val="30"/>
        </w:rPr>
      </w:pPr>
      <w:r>
        <w:rPr>
          <w:rFonts w:ascii="仿宋" w:eastAsia="仿宋" w:hAnsi="仿宋" w:hint="eastAsia"/>
          <w:kern w:val="0"/>
          <w:sz w:val="30"/>
          <w:szCs w:val="30"/>
        </w:rPr>
        <w:t>三公经费：指通过财政拨款资金安排的因公出国（境）费、公务用车购置及运行费和公务接待费支出。其中因公出国（境）费反映单位因公务出国（境）的国际旅费、国外城市间交通费、住宿费、伙食费、培训费、公杂费等支出；公务用车购置及运行费反映单位因公务用车国内购置支出（含车辆购置税）及租用费、燃料费、维修费、过路过桥费、保险费、安全奖励费用等支出。</w:t>
      </w:r>
      <w:r>
        <w:rPr>
          <w:rFonts w:ascii="仿宋" w:eastAsia="仿宋" w:hAnsi="仿宋" w:hint="eastAsia"/>
          <w:kern w:val="0"/>
          <w:sz w:val="30"/>
          <w:szCs w:val="30"/>
        </w:rPr>
        <w:lastRenderedPageBreak/>
        <w:t>公务接待费反映单位按相关规定开支的各类公务接待等支出。</w:t>
      </w:r>
    </w:p>
    <w:p w:rsidR="00E41282" w:rsidRDefault="00F909DF">
      <w:pPr>
        <w:ind w:firstLine="600"/>
        <w:rPr>
          <w:rFonts w:ascii="仿宋" w:eastAsia="仿宋" w:hAnsi="仿宋"/>
          <w:kern w:val="0"/>
          <w:sz w:val="30"/>
          <w:szCs w:val="30"/>
        </w:rPr>
      </w:pPr>
      <w:r>
        <w:rPr>
          <w:rFonts w:ascii="仿宋" w:eastAsia="仿宋" w:hAnsi="仿宋" w:hint="eastAsia"/>
          <w:kern w:val="0"/>
          <w:sz w:val="30"/>
          <w:szCs w:val="30"/>
        </w:rPr>
        <w:t>机关运行经费：是指各部门的公用经费，包括办公及印刷费、邮电费、差旅费、会议费、福利费、日常维修费、专用材料及一般设备购置费、办公用房水电费、办公用房取暖费、办公用房物业费、公务用车运行维护费以及其他费用。</w:t>
      </w:r>
    </w:p>
    <w:p w:rsidR="00E41282" w:rsidRDefault="00F909DF">
      <w:pPr>
        <w:widowControl/>
        <w:numPr>
          <w:ilvl w:val="0"/>
          <w:numId w:val="7"/>
        </w:numPr>
        <w:spacing w:line="600" w:lineRule="exact"/>
        <w:ind w:firstLineChars="987" w:firstLine="3171"/>
        <w:rPr>
          <w:rFonts w:ascii="宋体" w:hAnsi="宋体"/>
          <w:b/>
          <w:sz w:val="32"/>
          <w:szCs w:val="32"/>
        </w:rPr>
      </w:pPr>
      <w:r>
        <w:rPr>
          <w:rFonts w:ascii="宋体" w:hAnsi="宋体" w:hint="eastAsia"/>
          <w:b/>
          <w:sz w:val="32"/>
          <w:szCs w:val="32"/>
        </w:rPr>
        <w:t xml:space="preserve"> 附  件</w:t>
      </w:r>
    </w:p>
    <w:p w:rsidR="009F1FA8" w:rsidRDefault="009F1FA8" w:rsidP="009F1FA8">
      <w:pPr>
        <w:rPr>
          <w:rFonts w:ascii="仿宋" w:eastAsia="仿宋" w:hAnsi="仿宋" w:hint="eastAsia"/>
          <w:color w:val="FF0000"/>
          <w:sz w:val="30"/>
          <w:szCs w:val="30"/>
        </w:rPr>
      </w:pPr>
      <w:r>
        <w:rPr>
          <w:rFonts w:ascii="仿宋" w:eastAsia="仿宋" w:hAnsi="仿宋" w:hint="eastAsia"/>
          <w:color w:val="FF0000"/>
          <w:sz w:val="30"/>
          <w:szCs w:val="30"/>
        </w:rPr>
        <w:t xml:space="preserve">  </w:t>
      </w:r>
    </w:p>
    <w:p w:rsidR="009F1FA8" w:rsidRDefault="009F1FA8" w:rsidP="009F1FA8">
      <w:pPr>
        <w:widowControl/>
        <w:spacing w:line="580" w:lineRule="exact"/>
        <w:ind w:firstLine="600"/>
        <w:jc w:val="left"/>
        <w:rPr>
          <w:rFonts w:ascii="仿宋" w:eastAsia="仿宋" w:hAnsi="仿宋"/>
          <w:kern w:val="0"/>
          <w:sz w:val="30"/>
          <w:szCs w:val="30"/>
        </w:rPr>
      </w:pPr>
      <w:r>
        <w:rPr>
          <w:rFonts w:ascii="仿宋" w:eastAsia="仿宋" w:hAnsi="仿宋" w:hint="eastAsia"/>
          <w:kern w:val="0"/>
          <w:sz w:val="30"/>
          <w:szCs w:val="30"/>
        </w:rPr>
        <w:t>1、2020年度单位整体支出绩效自评报告</w:t>
      </w:r>
    </w:p>
    <w:p w:rsidR="009F1FA8" w:rsidRDefault="009F1FA8" w:rsidP="009F1FA8">
      <w:pPr>
        <w:spacing w:line="620" w:lineRule="exact"/>
        <w:rPr>
          <w:rFonts w:ascii="黑体" w:eastAsia="黑体" w:hAnsi="黑体" w:hint="eastAsia"/>
          <w:sz w:val="32"/>
        </w:rPr>
      </w:pPr>
      <w:r>
        <w:rPr>
          <w:rFonts w:ascii="仿宋" w:eastAsia="仿宋" w:hAnsi="仿宋" w:hint="eastAsia"/>
          <w:szCs w:val="32"/>
        </w:rPr>
        <w:t xml:space="preserve">        </w:t>
      </w:r>
      <w:r>
        <w:rPr>
          <w:rFonts w:ascii="黑体" w:eastAsia="黑体" w:hAnsi="黑体" w:hint="eastAsia"/>
          <w:sz w:val="32"/>
        </w:rPr>
        <w:t>一、部门概况</w:t>
      </w:r>
    </w:p>
    <w:p w:rsidR="009F1FA8" w:rsidRDefault="009F1FA8" w:rsidP="009F1FA8">
      <w:pPr>
        <w:spacing w:line="620" w:lineRule="exact"/>
        <w:ind w:firstLineChars="200" w:firstLine="640"/>
        <w:rPr>
          <w:rFonts w:ascii="仿宋_GB2312" w:eastAsia="仿宋_GB2312" w:hAnsi="仿宋_GB2312" w:hint="eastAsia"/>
          <w:sz w:val="32"/>
        </w:rPr>
      </w:pPr>
      <w:r>
        <w:rPr>
          <w:rFonts w:ascii="仿宋_GB2312" w:eastAsia="仿宋_GB2312" w:hAnsi="仿宋_GB2312" w:hint="eastAsia"/>
          <w:sz w:val="32"/>
        </w:rPr>
        <w:t>（一）部门主要职责职能，组织架构、人员及资产等基本情况。</w:t>
      </w:r>
    </w:p>
    <w:p w:rsidR="009F1FA8" w:rsidRDefault="009F1FA8" w:rsidP="009F1FA8">
      <w:pPr>
        <w:spacing w:line="620" w:lineRule="exact"/>
        <w:ind w:firstLineChars="200" w:firstLine="640"/>
        <w:rPr>
          <w:rFonts w:ascii="仿宋_GB2312" w:eastAsia="仿宋_GB2312" w:hAnsi="仿宋_GB2312" w:hint="eastAsia"/>
          <w:sz w:val="32"/>
        </w:rPr>
      </w:pPr>
      <w:r>
        <w:rPr>
          <w:rFonts w:ascii="仿宋_GB2312" w:eastAsia="仿宋_GB2312" w:hAnsi="仿宋_GB2312" w:hint="eastAsia"/>
          <w:sz w:val="32"/>
        </w:rPr>
        <w:t>湘东中学前身为1912年创办的省立萍乡西区小学，1956年办中学，全称为“江西省萍乡湘东初级中学”，1969年正式命名为“萍乡市湘东中学”,是萍乡市重点高中之一，主要职责是：实施高中学历教育，促进基础教育发展。本部门2020年年末实有人数445人，其中在职人员344人，离休人员0人，退休人员101人；年末学生人数4488人。</w:t>
      </w:r>
    </w:p>
    <w:p w:rsidR="009F1FA8" w:rsidRDefault="009F1FA8" w:rsidP="009F1FA8">
      <w:pPr>
        <w:spacing w:line="620" w:lineRule="exact"/>
        <w:ind w:firstLineChars="200" w:firstLine="640"/>
        <w:rPr>
          <w:rFonts w:ascii="黑体" w:eastAsia="黑体" w:hAnsi="黑体"/>
          <w:sz w:val="32"/>
        </w:rPr>
      </w:pPr>
      <w:r>
        <w:rPr>
          <w:rFonts w:ascii="黑体" w:eastAsia="黑体" w:hAnsi="黑体" w:hint="eastAsia"/>
          <w:sz w:val="32"/>
        </w:rPr>
        <w:t>二、部门整体支出绩效实现情况</w:t>
      </w:r>
    </w:p>
    <w:p w:rsidR="009F1FA8" w:rsidRDefault="009F1FA8" w:rsidP="009F1FA8">
      <w:pPr>
        <w:spacing w:line="620" w:lineRule="exact"/>
        <w:ind w:firstLineChars="200" w:firstLine="640"/>
        <w:rPr>
          <w:rFonts w:ascii="仿宋_GB2312" w:eastAsia="仿宋_GB2312" w:hAnsi="仿宋_GB2312"/>
          <w:sz w:val="32"/>
        </w:rPr>
      </w:pPr>
      <w:r>
        <w:rPr>
          <w:rFonts w:ascii="仿宋_GB2312" w:eastAsia="仿宋_GB2312" w:hAnsi="仿宋_GB2312" w:hint="eastAsia"/>
          <w:sz w:val="32"/>
        </w:rPr>
        <w:t>我校整体支出绩效实现情况自评得分99分。社会效益方面表现为提高了学校的教学质量，也促进了教师教学水平的提高。在可持续性效益方面表现为学校经常让教师、干部外出进行教师培训、干部培训，使学校的教学工作可以持续</w:t>
      </w:r>
      <w:r>
        <w:rPr>
          <w:rFonts w:ascii="仿宋_GB2312" w:eastAsia="仿宋_GB2312" w:hAnsi="仿宋_GB2312" w:hint="eastAsia"/>
          <w:sz w:val="32"/>
        </w:rPr>
        <w:lastRenderedPageBreak/>
        <w:t>开展，提高学生知识水平，提高老师的教学水平。在服务对象满意度方面，在教学及培训等各项业务活动组织过程中，各方面事务尽量考虑周全，为服务对象提供所需求的服务，学生对教学满意度达到95%，参加培训人员对服务满意度达到95%。</w:t>
      </w:r>
    </w:p>
    <w:p w:rsidR="009F1FA8" w:rsidRDefault="009F1FA8" w:rsidP="009F1FA8">
      <w:pPr>
        <w:spacing w:line="620" w:lineRule="exact"/>
        <w:ind w:firstLineChars="200" w:firstLine="640"/>
        <w:rPr>
          <w:rFonts w:ascii="黑体" w:eastAsia="黑体" w:hAnsi="黑体"/>
          <w:sz w:val="32"/>
        </w:rPr>
      </w:pPr>
      <w:r>
        <w:rPr>
          <w:rFonts w:ascii="黑体" w:eastAsia="黑体" w:hAnsi="黑体" w:hint="eastAsia"/>
          <w:sz w:val="32"/>
        </w:rPr>
        <w:t>三、部门整体支出绩效中存在问题及改进措施</w:t>
      </w:r>
    </w:p>
    <w:p w:rsidR="009F1FA8" w:rsidRDefault="009F1FA8" w:rsidP="009F1FA8">
      <w:pPr>
        <w:spacing w:line="620" w:lineRule="exact"/>
        <w:ind w:firstLineChars="200" w:firstLine="640"/>
        <w:rPr>
          <w:rFonts w:ascii="仿宋_GB2312" w:eastAsia="仿宋_GB2312" w:hAnsi="仿宋_GB2312" w:hint="eastAsia"/>
          <w:sz w:val="32"/>
        </w:rPr>
      </w:pPr>
      <w:r>
        <w:rPr>
          <w:rFonts w:ascii="仿宋_GB2312" w:eastAsia="仿宋_GB2312" w:hAnsi="仿宋_GB2312" w:hint="eastAsia"/>
          <w:sz w:val="32"/>
        </w:rPr>
        <w:t>（一）主要问题及原因分析</w:t>
      </w:r>
    </w:p>
    <w:p w:rsidR="009F1FA8" w:rsidRDefault="009F1FA8" w:rsidP="009F1FA8">
      <w:pPr>
        <w:spacing w:line="620" w:lineRule="exact"/>
        <w:ind w:firstLineChars="200" w:firstLine="640"/>
        <w:rPr>
          <w:rFonts w:ascii="仿宋_GB2312" w:eastAsia="仿宋_GB2312" w:hAnsi="仿宋_GB2312" w:hint="eastAsia"/>
          <w:sz w:val="32"/>
        </w:rPr>
      </w:pPr>
      <w:r>
        <w:rPr>
          <w:rFonts w:ascii="仿宋_GB2312" w:eastAsia="仿宋_GB2312" w:hAnsi="仿宋_GB2312" w:hint="eastAsia"/>
          <w:sz w:val="32"/>
        </w:rPr>
        <w:t xml:space="preserve"> 1.部门整体支出相对比专项支出来说，社会效益较好，经济效益不甚明显，不能很好的对比支出与成果，投入与产出效果，进而很难有针对性的发现问题。</w:t>
      </w:r>
    </w:p>
    <w:p w:rsidR="009F1FA8" w:rsidRDefault="009F1FA8" w:rsidP="009F1FA8">
      <w:pPr>
        <w:spacing w:line="620" w:lineRule="exact"/>
        <w:ind w:firstLineChars="200" w:firstLine="640"/>
        <w:rPr>
          <w:rFonts w:ascii="仿宋_GB2312" w:eastAsia="仿宋_GB2312" w:hAnsi="仿宋_GB2312" w:hint="eastAsia"/>
          <w:sz w:val="32"/>
        </w:rPr>
      </w:pPr>
      <w:r>
        <w:rPr>
          <w:rFonts w:ascii="仿宋_GB2312" w:eastAsia="仿宋_GB2312" w:hAnsi="仿宋_GB2312" w:hint="eastAsia"/>
          <w:sz w:val="32"/>
        </w:rPr>
        <w:t xml:space="preserve"> 2.业务能力还有待提高。由于预算绩效管理工作开展时间较短，缺乏系统性的培训，致使对这项工作的熟悉程度不够，还需加强绩效管理工作的认识程度。</w:t>
      </w:r>
    </w:p>
    <w:p w:rsidR="009F1FA8" w:rsidRDefault="009F1FA8" w:rsidP="009F1FA8">
      <w:pPr>
        <w:spacing w:line="620" w:lineRule="exact"/>
        <w:ind w:firstLineChars="200" w:firstLine="640"/>
        <w:rPr>
          <w:rFonts w:ascii="仿宋_GB2312" w:eastAsia="仿宋_GB2312" w:hAnsi="仿宋_GB2312" w:hint="eastAsia"/>
          <w:sz w:val="32"/>
        </w:rPr>
      </w:pPr>
      <w:r>
        <w:rPr>
          <w:rFonts w:ascii="仿宋_GB2312" w:eastAsia="仿宋_GB2312" w:hAnsi="仿宋_GB2312" w:hint="eastAsia"/>
          <w:sz w:val="32"/>
        </w:rPr>
        <w:t>（二）改进的方向和具体措施</w:t>
      </w:r>
    </w:p>
    <w:p w:rsidR="009F1FA8" w:rsidRDefault="009F1FA8" w:rsidP="009F1FA8">
      <w:pPr>
        <w:spacing w:line="620" w:lineRule="exact"/>
        <w:ind w:firstLineChars="200" w:firstLine="640"/>
        <w:rPr>
          <w:rFonts w:ascii="仿宋_GB2312" w:eastAsia="仿宋_GB2312" w:hAnsi="仿宋_GB2312" w:hint="eastAsia"/>
          <w:sz w:val="32"/>
        </w:rPr>
      </w:pPr>
      <w:r>
        <w:rPr>
          <w:rFonts w:ascii="仿宋_GB2312" w:eastAsia="仿宋_GB2312" w:hAnsi="仿宋_GB2312" w:hint="eastAsia"/>
          <w:sz w:val="32"/>
        </w:rPr>
        <w:t>1.进一步加强整体支出绩效评价，形成常规化管理。加强预算单位项目自评工作，提高报告质量，认真分析研究评价结果反映的问题，查找资金的使用和管理中的薄弱环节，制定改进和提高工作效率的措施。</w:t>
      </w:r>
    </w:p>
    <w:p w:rsidR="009F1FA8" w:rsidRDefault="009F1FA8" w:rsidP="009F1FA8">
      <w:pPr>
        <w:spacing w:line="620" w:lineRule="exact"/>
        <w:ind w:firstLineChars="200" w:firstLine="640"/>
        <w:rPr>
          <w:rFonts w:ascii="仿宋_GB2312" w:eastAsia="仿宋_GB2312" w:hAnsi="仿宋_GB2312"/>
          <w:sz w:val="32"/>
        </w:rPr>
      </w:pPr>
      <w:r>
        <w:rPr>
          <w:rFonts w:ascii="仿宋_GB2312" w:eastAsia="仿宋_GB2312" w:hAnsi="仿宋_GB2312" w:hint="eastAsia"/>
          <w:sz w:val="32"/>
        </w:rPr>
        <w:t>2.进一步加强绩效目标管理。依据国家相关政策、预算支出方向和重点，对核定的绩效目标进行审核，包括绩效目标与部门职能的相关性、绩效目标的实现所采取措施的可行性、实现绩效目标所需资金的合理性等。</w:t>
      </w:r>
    </w:p>
    <w:p w:rsidR="009F1FA8" w:rsidRDefault="009F1FA8" w:rsidP="009F1FA8">
      <w:pPr>
        <w:spacing w:line="620" w:lineRule="exact"/>
        <w:ind w:firstLineChars="200" w:firstLine="640"/>
        <w:rPr>
          <w:rFonts w:ascii="黑体" w:eastAsia="黑体" w:hAnsi="黑体" w:hint="eastAsia"/>
          <w:sz w:val="32"/>
        </w:rPr>
      </w:pPr>
      <w:r>
        <w:rPr>
          <w:rFonts w:ascii="黑体" w:eastAsia="黑体" w:hAnsi="黑体" w:hint="eastAsia"/>
          <w:sz w:val="32"/>
        </w:rPr>
        <w:lastRenderedPageBreak/>
        <w:t>四、绩效自评结果拟应用和公开情况</w:t>
      </w:r>
    </w:p>
    <w:p w:rsidR="009F1FA8" w:rsidRDefault="009F1FA8" w:rsidP="009F1FA8">
      <w:pPr>
        <w:spacing w:line="620" w:lineRule="exact"/>
        <w:ind w:firstLineChars="200" w:firstLine="640"/>
        <w:rPr>
          <w:rFonts w:ascii="仿宋_GB2312" w:eastAsia="仿宋_GB2312" w:hAnsi="仿宋_GB2312" w:hint="eastAsia"/>
          <w:sz w:val="32"/>
        </w:rPr>
      </w:pPr>
      <w:r>
        <w:rPr>
          <w:rFonts w:ascii="仿宋_GB2312" w:eastAsia="仿宋_GB2312" w:hAnsi="仿宋_GB2312" w:hint="eastAsia"/>
          <w:sz w:val="32"/>
        </w:rPr>
        <w:t>根据对我校2020年部门整体支出项目绩效评价指标体系和绩效情况的检查，2020年我校整体绩效自评分99分。</w:t>
      </w:r>
    </w:p>
    <w:p w:rsidR="009F1FA8" w:rsidRDefault="009F1FA8" w:rsidP="009F1FA8">
      <w:pPr>
        <w:spacing w:line="620" w:lineRule="exact"/>
        <w:ind w:firstLineChars="200" w:firstLine="640"/>
        <w:rPr>
          <w:rFonts w:ascii="仿宋_GB2312" w:eastAsia="仿宋_GB2312" w:hAnsi="仿宋_GB2312" w:hint="eastAsia"/>
          <w:sz w:val="32"/>
        </w:rPr>
      </w:pPr>
      <w:r>
        <w:rPr>
          <w:rFonts w:ascii="仿宋_GB2312" w:eastAsia="仿宋_GB2312" w:hAnsi="仿宋_GB2312" w:hint="eastAsia"/>
          <w:sz w:val="32"/>
        </w:rPr>
        <w:t>2020年，我校未出现违规支出部门经费情况，当年各项支出总体落实情况较好，审核、支出奖金及时，全年绩效目标任务完成情况较好。</w:t>
      </w:r>
    </w:p>
    <w:p w:rsidR="009F1FA8" w:rsidRDefault="009F1FA8" w:rsidP="009F1FA8">
      <w:pPr>
        <w:spacing w:line="620" w:lineRule="exact"/>
        <w:ind w:firstLineChars="200" w:firstLine="640"/>
        <w:rPr>
          <w:rFonts w:ascii="仿宋_GB2312" w:eastAsia="仿宋_GB2312" w:hAnsi="仿宋_GB2312" w:hint="eastAsia"/>
          <w:sz w:val="32"/>
        </w:rPr>
      </w:pPr>
      <w:r>
        <w:rPr>
          <w:rFonts w:ascii="仿宋_GB2312" w:eastAsia="仿宋_GB2312" w:hAnsi="仿宋_GB2312" w:hint="eastAsia"/>
          <w:sz w:val="32"/>
        </w:rPr>
        <w:t>此次绩效评价严格按照绩效管理工作的有关规定，进一步规范财政资金的管理，强化财政支出绩效理念，提升学校各部门责任意识，提高资金使用效益，为学校正常教学奠定好的物质基础，保证学校教学工作正常运转。</w:t>
      </w:r>
    </w:p>
    <w:p w:rsidR="009F1FA8" w:rsidRDefault="009F1FA8" w:rsidP="009F1FA8">
      <w:pPr>
        <w:spacing w:line="620" w:lineRule="exact"/>
        <w:ind w:firstLineChars="200" w:firstLine="640"/>
        <w:rPr>
          <w:rFonts w:ascii="仿宋_GB2312" w:eastAsia="仿宋_GB2312" w:hAnsi="仿宋_GB2312" w:hint="eastAsia"/>
          <w:sz w:val="32"/>
        </w:rPr>
      </w:pPr>
      <w:r>
        <w:rPr>
          <w:rFonts w:ascii="仿宋_GB2312" w:eastAsia="仿宋_GB2312" w:hAnsi="仿宋_GB2312" w:hint="eastAsia"/>
          <w:sz w:val="32"/>
        </w:rPr>
        <w:t>根据绩效评价的要求，我校成立了自评工作领导小组，对照自评方案进行研究布署，按照自评方案的要求，对照自评实施项目的内容逐项核对，及时纠正偏差，为下一步工作夯实基础。</w:t>
      </w:r>
    </w:p>
    <w:p w:rsidR="009F1FA8" w:rsidRDefault="009F1FA8" w:rsidP="009F1FA8">
      <w:pPr>
        <w:spacing w:line="620" w:lineRule="exact"/>
        <w:ind w:firstLineChars="200" w:firstLine="640"/>
        <w:rPr>
          <w:rFonts w:ascii="仿宋_GB2312" w:eastAsia="仿宋_GB2312" w:hAnsi="仿宋_GB2312" w:hint="eastAsia"/>
          <w:sz w:val="32"/>
        </w:rPr>
      </w:pPr>
      <w:r>
        <w:rPr>
          <w:rFonts w:ascii="仿宋_GB2312" w:eastAsia="仿宋_GB2312" w:hAnsi="仿宋_GB2312" w:hint="eastAsia"/>
          <w:sz w:val="32"/>
        </w:rPr>
        <w:t>我校2020年绩效评价指标数据来源于财政年初预算数，绩效指标的获取方式为部门决算支出指标完成情况。</w:t>
      </w:r>
    </w:p>
    <w:p w:rsidR="00E41282" w:rsidRDefault="00F909DF">
      <w:pPr>
        <w:widowControl/>
        <w:spacing w:line="580" w:lineRule="exact"/>
        <w:ind w:firstLine="600"/>
        <w:jc w:val="left"/>
        <w:rPr>
          <w:rFonts w:ascii="仿宋" w:eastAsia="仿宋" w:hAnsi="仿宋"/>
          <w:kern w:val="0"/>
          <w:sz w:val="30"/>
          <w:szCs w:val="30"/>
        </w:rPr>
      </w:pPr>
      <w:r>
        <w:rPr>
          <w:rFonts w:ascii="仿宋" w:eastAsia="仿宋" w:hAnsi="仿宋" w:hint="eastAsia"/>
          <w:kern w:val="0"/>
          <w:sz w:val="30"/>
          <w:szCs w:val="30"/>
        </w:rPr>
        <w:t>2、《项目支出绩效自评表》</w:t>
      </w:r>
    </w:p>
    <w:p w:rsidR="00E41282" w:rsidRDefault="00F909DF">
      <w:pPr>
        <w:pStyle w:val="a3"/>
        <w:widowControl/>
        <w:spacing w:beforeAutospacing="0" w:afterAutospacing="0"/>
        <w:ind w:firstLine="630"/>
        <w:rPr>
          <w:rFonts w:ascii="微软雅黑" w:eastAsia="微软雅黑" w:hAnsi="微软雅黑" w:cs="微软雅黑"/>
          <w:color w:val="333333"/>
          <w:sz w:val="21"/>
          <w:szCs w:val="21"/>
        </w:rPr>
      </w:pPr>
      <w:r>
        <w:rPr>
          <w:rFonts w:ascii="Times New Roman" w:eastAsia="微软雅黑" w:hAnsi="Times New Roman"/>
          <w:color w:val="333333"/>
          <w:sz w:val="30"/>
          <w:szCs w:val="30"/>
        </w:rPr>
        <w:lastRenderedPageBreak/>
        <w:t> </w:t>
      </w:r>
      <w:r w:rsidR="004C3DEC" w:rsidRPr="004C3DEC">
        <w:rPr>
          <w:rFonts w:ascii="Times New Roman" w:eastAsia="微软雅黑" w:hAnsi="Times New Roman"/>
          <w:noProof/>
          <w:color w:val="333333"/>
          <w:sz w:val="30"/>
          <w:szCs w:val="30"/>
        </w:rPr>
        <w:drawing>
          <wp:inline distT="0" distB="0" distL="114300" distR="114300">
            <wp:extent cx="5269865" cy="7555865"/>
            <wp:effectExtent l="0" t="0" r="6985" b="698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cstate="print"/>
                    <a:stretch>
                      <a:fillRect/>
                    </a:stretch>
                  </pic:blipFill>
                  <pic:spPr>
                    <a:xfrm>
                      <a:off x="0" y="0"/>
                      <a:ext cx="5269865" cy="7555865"/>
                    </a:xfrm>
                    <a:prstGeom prst="rect">
                      <a:avLst/>
                    </a:prstGeom>
                    <a:noFill/>
                    <a:ln>
                      <a:noFill/>
                    </a:ln>
                  </pic:spPr>
                </pic:pic>
              </a:graphicData>
            </a:graphic>
          </wp:inline>
        </w:drawing>
      </w:r>
    </w:p>
    <w:p w:rsidR="00E41282" w:rsidRDefault="00E41282"/>
    <w:sectPr w:rsidR="00E41282" w:rsidSect="00E412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9DF" w:rsidRDefault="00F909DF" w:rsidP="004B1FA0">
      <w:r>
        <w:separator/>
      </w:r>
    </w:p>
  </w:endnote>
  <w:endnote w:type="continuationSeparator" w:id="0">
    <w:p w:rsidR="00F909DF" w:rsidRDefault="00F909DF" w:rsidP="004B1F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9DF" w:rsidRDefault="00F909DF" w:rsidP="004B1FA0">
      <w:r>
        <w:separator/>
      </w:r>
    </w:p>
  </w:footnote>
  <w:footnote w:type="continuationSeparator" w:id="0">
    <w:p w:rsidR="00F909DF" w:rsidRDefault="00F909DF" w:rsidP="004B1F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A6CF81"/>
    <w:multiLevelType w:val="singleLevel"/>
    <w:tmpl w:val="A6A6CF81"/>
    <w:lvl w:ilvl="0">
      <w:start w:val="1"/>
      <w:numFmt w:val="chineseCounting"/>
      <w:suff w:val="nothing"/>
      <w:lvlText w:val="（%1）"/>
      <w:lvlJc w:val="left"/>
      <w:rPr>
        <w:rFonts w:hint="eastAsia"/>
      </w:rPr>
    </w:lvl>
  </w:abstractNum>
  <w:abstractNum w:abstractNumId="1">
    <w:nsid w:val="CEF1AB64"/>
    <w:multiLevelType w:val="singleLevel"/>
    <w:tmpl w:val="CEF1AB64"/>
    <w:lvl w:ilvl="0">
      <w:start w:val="8"/>
      <w:numFmt w:val="chineseCounting"/>
      <w:suff w:val="nothing"/>
      <w:lvlText w:val="%1、"/>
      <w:lvlJc w:val="left"/>
      <w:pPr>
        <w:ind w:left="1280" w:firstLine="0"/>
      </w:pPr>
      <w:rPr>
        <w:rFonts w:hint="eastAsia"/>
      </w:rPr>
    </w:lvl>
  </w:abstractNum>
  <w:abstractNum w:abstractNumId="2">
    <w:nsid w:val="1345FE5A"/>
    <w:multiLevelType w:val="singleLevel"/>
    <w:tmpl w:val="1345FE5A"/>
    <w:lvl w:ilvl="0">
      <w:start w:val="1"/>
      <w:numFmt w:val="decimal"/>
      <w:suff w:val="nothing"/>
      <w:lvlText w:val="%1、"/>
      <w:lvlJc w:val="left"/>
    </w:lvl>
  </w:abstractNum>
  <w:abstractNum w:abstractNumId="3">
    <w:nsid w:val="4AFA60DC"/>
    <w:multiLevelType w:val="singleLevel"/>
    <w:tmpl w:val="4AFA60DC"/>
    <w:lvl w:ilvl="0">
      <w:start w:val="4"/>
      <w:numFmt w:val="chineseCounting"/>
      <w:suff w:val="nothing"/>
      <w:lvlText w:val="%1、"/>
      <w:lvlJc w:val="left"/>
      <w:rPr>
        <w:rFonts w:hint="eastAsia"/>
      </w:rPr>
    </w:lvl>
  </w:abstractNum>
  <w:abstractNum w:abstractNumId="4">
    <w:nsid w:val="4F3BCCF2"/>
    <w:multiLevelType w:val="singleLevel"/>
    <w:tmpl w:val="4F3BCCF2"/>
    <w:lvl w:ilvl="0">
      <w:start w:val="5"/>
      <w:numFmt w:val="chineseCounting"/>
      <w:suff w:val="nothing"/>
      <w:lvlText w:val="%1、"/>
      <w:lvlJc w:val="left"/>
      <w:rPr>
        <w:rFonts w:hint="eastAsia"/>
      </w:rPr>
    </w:lvl>
  </w:abstractNum>
  <w:abstractNum w:abstractNumId="5">
    <w:nsid w:val="7DD0E1EA"/>
    <w:multiLevelType w:val="singleLevel"/>
    <w:tmpl w:val="7DD0E1EA"/>
    <w:lvl w:ilvl="0">
      <w:start w:val="1"/>
      <w:numFmt w:val="chineseCounting"/>
      <w:suff w:val="nothing"/>
      <w:lvlText w:val="%1、"/>
      <w:lvlJc w:val="left"/>
      <w:rPr>
        <w:rFonts w:hint="eastAsia"/>
      </w:rPr>
    </w:lvl>
  </w:abstractNum>
  <w:abstractNum w:abstractNumId="6">
    <w:nsid w:val="7ED75FCF"/>
    <w:multiLevelType w:val="singleLevel"/>
    <w:tmpl w:val="7ED75FCF"/>
    <w:lvl w:ilvl="0">
      <w:start w:val="5"/>
      <w:numFmt w:val="chineseCounting"/>
      <w:suff w:val="space"/>
      <w:lvlText w:val="第%1部分"/>
      <w:lvlJc w:val="left"/>
      <w:rPr>
        <w:rFonts w:hint="eastAsia"/>
      </w:rPr>
    </w:lvl>
  </w:abstractNum>
  <w:num w:numId="1">
    <w:abstractNumId w:val="1"/>
  </w:num>
  <w:num w:numId="2">
    <w:abstractNumId w:val="3"/>
  </w:num>
  <w:num w:numId="3">
    <w:abstractNumId w:val="0"/>
  </w:num>
  <w:num w:numId="4">
    <w:abstractNumId w:val="4"/>
  </w:num>
  <w:num w:numId="5">
    <w:abstractNumId w:val="5"/>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8B25053"/>
    <w:rsid w:val="001448D7"/>
    <w:rsid w:val="00183273"/>
    <w:rsid w:val="001D7D97"/>
    <w:rsid w:val="001F5AD3"/>
    <w:rsid w:val="001F6F14"/>
    <w:rsid w:val="002530A6"/>
    <w:rsid w:val="00387776"/>
    <w:rsid w:val="004B1FA0"/>
    <w:rsid w:val="004C3DEC"/>
    <w:rsid w:val="004E1487"/>
    <w:rsid w:val="00536AAC"/>
    <w:rsid w:val="007B3344"/>
    <w:rsid w:val="0096728D"/>
    <w:rsid w:val="009D20B7"/>
    <w:rsid w:val="009F1FA8"/>
    <w:rsid w:val="00AF0591"/>
    <w:rsid w:val="00B2373E"/>
    <w:rsid w:val="00BA0610"/>
    <w:rsid w:val="00D64F34"/>
    <w:rsid w:val="00E41282"/>
    <w:rsid w:val="00E740FB"/>
    <w:rsid w:val="00F909DF"/>
    <w:rsid w:val="025B6B99"/>
    <w:rsid w:val="03842F59"/>
    <w:rsid w:val="04CE1C13"/>
    <w:rsid w:val="067371A7"/>
    <w:rsid w:val="06C5640A"/>
    <w:rsid w:val="07547315"/>
    <w:rsid w:val="07FB72CE"/>
    <w:rsid w:val="0A7D2C93"/>
    <w:rsid w:val="0B9D178D"/>
    <w:rsid w:val="0C291CA6"/>
    <w:rsid w:val="0DCB6C0A"/>
    <w:rsid w:val="0DFA4923"/>
    <w:rsid w:val="0E5337F7"/>
    <w:rsid w:val="10C5242A"/>
    <w:rsid w:val="10FB43D3"/>
    <w:rsid w:val="130E0E01"/>
    <w:rsid w:val="1456324B"/>
    <w:rsid w:val="167A205F"/>
    <w:rsid w:val="169133B0"/>
    <w:rsid w:val="173E5C77"/>
    <w:rsid w:val="175E023C"/>
    <w:rsid w:val="17F05F9A"/>
    <w:rsid w:val="18830B08"/>
    <w:rsid w:val="18B25053"/>
    <w:rsid w:val="18DB6DE0"/>
    <w:rsid w:val="195171A0"/>
    <w:rsid w:val="19DE2593"/>
    <w:rsid w:val="1A8E55CD"/>
    <w:rsid w:val="1B160368"/>
    <w:rsid w:val="1E174E01"/>
    <w:rsid w:val="207F6C39"/>
    <w:rsid w:val="21883371"/>
    <w:rsid w:val="232B0406"/>
    <w:rsid w:val="23853C1E"/>
    <w:rsid w:val="23E23A24"/>
    <w:rsid w:val="2431128A"/>
    <w:rsid w:val="24AE020E"/>
    <w:rsid w:val="25895981"/>
    <w:rsid w:val="25D60343"/>
    <w:rsid w:val="26D41085"/>
    <w:rsid w:val="27A8785A"/>
    <w:rsid w:val="27DC7253"/>
    <w:rsid w:val="2A1A1745"/>
    <w:rsid w:val="2B0C7899"/>
    <w:rsid w:val="2C996D88"/>
    <w:rsid w:val="2E3B5BD5"/>
    <w:rsid w:val="2E3D2131"/>
    <w:rsid w:val="2E4D4DED"/>
    <w:rsid w:val="2E5812C9"/>
    <w:rsid w:val="2E772888"/>
    <w:rsid w:val="2ED07811"/>
    <w:rsid w:val="303B1C4D"/>
    <w:rsid w:val="30D90DD5"/>
    <w:rsid w:val="3123537D"/>
    <w:rsid w:val="32215DB1"/>
    <w:rsid w:val="327905D6"/>
    <w:rsid w:val="33CC546A"/>
    <w:rsid w:val="34B97FA4"/>
    <w:rsid w:val="34E961AB"/>
    <w:rsid w:val="38F342C7"/>
    <w:rsid w:val="39292908"/>
    <w:rsid w:val="3B58331F"/>
    <w:rsid w:val="3B87493D"/>
    <w:rsid w:val="3BAF1A3A"/>
    <w:rsid w:val="3BF3702B"/>
    <w:rsid w:val="3C371B02"/>
    <w:rsid w:val="3CB23DCF"/>
    <w:rsid w:val="3CFD3D3B"/>
    <w:rsid w:val="3D022451"/>
    <w:rsid w:val="3E0054D3"/>
    <w:rsid w:val="3F19354F"/>
    <w:rsid w:val="3F3F12DD"/>
    <w:rsid w:val="3F96575E"/>
    <w:rsid w:val="40860BED"/>
    <w:rsid w:val="414A0CCA"/>
    <w:rsid w:val="42010922"/>
    <w:rsid w:val="43833802"/>
    <w:rsid w:val="44301C78"/>
    <w:rsid w:val="443C1A8A"/>
    <w:rsid w:val="447D2AC0"/>
    <w:rsid w:val="45E82AF8"/>
    <w:rsid w:val="467166F1"/>
    <w:rsid w:val="479E27D7"/>
    <w:rsid w:val="480D4787"/>
    <w:rsid w:val="48542113"/>
    <w:rsid w:val="48A5142C"/>
    <w:rsid w:val="4A0242E4"/>
    <w:rsid w:val="4C5C0B5B"/>
    <w:rsid w:val="4CA448D6"/>
    <w:rsid w:val="4CE07A84"/>
    <w:rsid w:val="4D455C32"/>
    <w:rsid w:val="4DD75604"/>
    <w:rsid w:val="4F7F2CA1"/>
    <w:rsid w:val="4FE44185"/>
    <w:rsid w:val="50B952FF"/>
    <w:rsid w:val="52050694"/>
    <w:rsid w:val="52747CC4"/>
    <w:rsid w:val="54483A1A"/>
    <w:rsid w:val="547E606F"/>
    <w:rsid w:val="54B15FDB"/>
    <w:rsid w:val="54FC6F44"/>
    <w:rsid w:val="55A6578B"/>
    <w:rsid w:val="5693385E"/>
    <w:rsid w:val="582232DD"/>
    <w:rsid w:val="590E5F6E"/>
    <w:rsid w:val="59A25100"/>
    <w:rsid w:val="5B597F34"/>
    <w:rsid w:val="5B873B55"/>
    <w:rsid w:val="5BAF7DFA"/>
    <w:rsid w:val="5BDD77B0"/>
    <w:rsid w:val="5BE772DA"/>
    <w:rsid w:val="5CEC2FD4"/>
    <w:rsid w:val="611F28BA"/>
    <w:rsid w:val="620F4380"/>
    <w:rsid w:val="6233261B"/>
    <w:rsid w:val="62A10BD2"/>
    <w:rsid w:val="65024C9A"/>
    <w:rsid w:val="66A260A3"/>
    <w:rsid w:val="694C18C8"/>
    <w:rsid w:val="6A341751"/>
    <w:rsid w:val="6B3C6934"/>
    <w:rsid w:val="6B4D0C5A"/>
    <w:rsid w:val="6B9B0867"/>
    <w:rsid w:val="6E9F10C9"/>
    <w:rsid w:val="6EC669E9"/>
    <w:rsid w:val="6F0C49B1"/>
    <w:rsid w:val="70F55B3C"/>
    <w:rsid w:val="71CF21A4"/>
    <w:rsid w:val="7475496A"/>
    <w:rsid w:val="74A8480E"/>
    <w:rsid w:val="758E3B71"/>
    <w:rsid w:val="75C70375"/>
    <w:rsid w:val="76275AAD"/>
    <w:rsid w:val="789A5D20"/>
    <w:rsid w:val="7A5C7B8C"/>
    <w:rsid w:val="7B627FD5"/>
    <w:rsid w:val="7C3564AF"/>
    <w:rsid w:val="7FB07F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128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E41282"/>
    <w:pPr>
      <w:spacing w:beforeAutospacing="1" w:afterAutospacing="1"/>
      <w:jc w:val="left"/>
    </w:pPr>
    <w:rPr>
      <w:rFonts w:cs="Times New Roman"/>
      <w:kern w:val="0"/>
      <w:sz w:val="24"/>
    </w:rPr>
  </w:style>
  <w:style w:type="character" w:styleId="a4">
    <w:name w:val="Strong"/>
    <w:basedOn w:val="a0"/>
    <w:qFormat/>
    <w:rsid w:val="00E41282"/>
    <w:rPr>
      <w:b/>
    </w:rPr>
  </w:style>
  <w:style w:type="character" w:styleId="a5">
    <w:name w:val="Hyperlink"/>
    <w:basedOn w:val="a0"/>
    <w:qFormat/>
    <w:rsid w:val="00E41282"/>
    <w:rPr>
      <w:color w:val="0000FF"/>
      <w:u w:val="single"/>
    </w:rPr>
  </w:style>
  <w:style w:type="paragraph" w:customStyle="1" w:styleId="p0">
    <w:name w:val="p0"/>
    <w:basedOn w:val="a"/>
    <w:rsid w:val="00E41282"/>
    <w:pPr>
      <w:widowControl/>
    </w:pPr>
    <w:rPr>
      <w:kern w:val="0"/>
      <w:szCs w:val="21"/>
    </w:rPr>
  </w:style>
  <w:style w:type="paragraph" w:styleId="a6">
    <w:name w:val="header"/>
    <w:basedOn w:val="a"/>
    <w:link w:val="Char"/>
    <w:rsid w:val="004B1F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4B1FA0"/>
    <w:rPr>
      <w:rFonts w:asciiTheme="minorHAnsi" w:eastAsiaTheme="minorEastAsia" w:hAnsiTheme="minorHAnsi" w:cstheme="minorBidi"/>
      <w:kern w:val="2"/>
      <w:sz w:val="18"/>
      <w:szCs w:val="18"/>
    </w:rPr>
  </w:style>
  <w:style w:type="paragraph" w:styleId="a7">
    <w:name w:val="footer"/>
    <w:basedOn w:val="a"/>
    <w:link w:val="Char0"/>
    <w:rsid w:val="004B1FA0"/>
    <w:pPr>
      <w:tabs>
        <w:tab w:val="center" w:pos="4153"/>
        <w:tab w:val="right" w:pos="8306"/>
      </w:tabs>
      <w:snapToGrid w:val="0"/>
      <w:jc w:val="left"/>
    </w:pPr>
    <w:rPr>
      <w:sz w:val="18"/>
      <w:szCs w:val="18"/>
    </w:rPr>
  </w:style>
  <w:style w:type="character" w:customStyle="1" w:styleId="Char0">
    <w:name w:val="页脚 Char"/>
    <w:basedOn w:val="a0"/>
    <w:link w:val="a7"/>
    <w:rsid w:val="004B1FA0"/>
    <w:rPr>
      <w:rFonts w:asciiTheme="minorHAnsi" w:eastAsiaTheme="minorEastAsia" w:hAnsiTheme="minorHAnsi" w:cstheme="minorBidi"/>
      <w:kern w:val="2"/>
      <w:sz w:val="18"/>
      <w:szCs w:val="18"/>
    </w:rPr>
  </w:style>
  <w:style w:type="paragraph" w:styleId="a8">
    <w:name w:val="Balloon Text"/>
    <w:basedOn w:val="a"/>
    <w:link w:val="Char1"/>
    <w:rsid w:val="001F5AD3"/>
    <w:rPr>
      <w:sz w:val="18"/>
      <w:szCs w:val="18"/>
    </w:rPr>
  </w:style>
  <w:style w:type="character" w:customStyle="1" w:styleId="Char1">
    <w:name w:val="批注框文本 Char"/>
    <w:basedOn w:val="a0"/>
    <w:link w:val="a8"/>
    <w:rsid w:val="001F5AD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22</Pages>
  <Words>5572</Words>
  <Characters>898</Characters>
  <Application>Microsoft Office Word</Application>
  <DocSecurity>0</DocSecurity>
  <Lines>7</Lines>
  <Paragraphs>12</Paragraphs>
  <ScaleCrop>false</ScaleCrop>
  <Company/>
  <LinksUpToDate>false</LinksUpToDate>
  <CharactersWithSpaces>6458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cp:revision>
  <cp:lastPrinted>2021-08-24T04:34:00Z</cp:lastPrinted>
  <dcterms:created xsi:type="dcterms:W3CDTF">2021-08-26T06:35:00Z</dcterms:created>
  <dcterms:modified xsi:type="dcterms:W3CDTF">2021-08-26T07:38:00Z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181150FE0E1A47519D04CBD67F6F1988</vt:lpwstr>
  </property>
</Properties>
</file>